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742841309"/>
        <w:docPartObj>
          <w:docPartGallery w:val="Cover Pages"/>
          <w:docPartUnique/>
        </w:docPartObj>
      </w:sdtPr>
      <w:sdtEndPr/>
      <w:sdtContent>
        <w:p w14:paraId="79030A36" w14:textId="2E5536C9" w:rsidR="001355C2" w:rsidRDefault="001355C2">
          <w:pPr>
            <w:rPr>
              <w:rFonts w:ascii="Arial" w:hAnsi="Arial" w:cs="Arial"/>
            </w:rPr>
          </w:pPr>
          <w:r w:rsidRPr="001355C2">
            <w:rPr>
              <w:rFonts w:ascii="Arial" w:hAnsi="Arial" w:cs="Arial"/>
              <w:noProof/>
            </w:rPr>
            <mc:AlternateContent>
              <mc:Choice Requires="wps">
                <w:drawing>
                  <wp:anchor distT="0" distB="0" distL="114300" distR="114300" simplePos="0" relativeHeight="251659264" behindDoc="0" locked="0" layoutInCell="1" allowOverlap="1" wp14:anchorId="75632FC0" wp14:editId="792BCCF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1355C2" w14:paraId="0E247176" w14:textId="77777777">
                                  <w:trPr>
                                    <w:jc w:val="center"/>
                                  </w:trPr>
                                  <w:tc>
                                    <w:tcPr>
                                      <w:tcW w:w="2568" w:type="pct"/>
                                      <w:vAlign w:val="center"/>
                                    </w:tcPr>
                                    <w:p w14:paraId="48979AF8" w14:textId="77777777" w:rsidR="001355C2" w:rsidRDefault="001355C2">
                                      <w:pPr>
                                        <w:jc w:val="right"/>
                                      </w:pPr>
                                      <w:r>
                                        <w:rPr>
                                          <w:noProof/>
                                        </w:rPr>
                                        <w:drawing>
                                          <wp:inline distT="0" distB="0" distL="0" distR="0" wp14:anchorId="1514F7FF" wp14:editId="607AA509">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B21043E" w14:textId="273228B8" w:rsidR="001355C2" w:rsidRDefault="00A12A57">
                                          <w:pPr>
                                            <w:pStyle w:val="NoSpacing"/>
                                            <w:spacing w:line="312" w:lineRule="auto"/>
                                            <w:jc w:val="right"/>
                                            <w:rPr>
                                              <w:caps/>
                                              <w:color w:val="191919" w:themeColor="text1" w:themeTint="E6"/>
                                              <w:sz w:val="72"/>
                                              <w:szCs w:val="72"/>
                                            </w:rPr>
                                          </w:pPr>
                                          <w:r>
                                            <w:rPr>
                                              <w:caps/>
                                              <w:color w:val="191919" w:themeColor="text1" w:themeTint="E6"/>
                                              <w:sz w:val="72"/>
                                              <w:szCs w:val="72"/>
                                            </w:rPr>
                                            <w:t>Executive Summary</w:t>
                                          </w:r>
                                        </w:p>
                                      </w:sdtContent>
                                    </w:sdt>
                                    <w:p w14:paraId="3CACAACC" w14:textId="7FF004EB" w:rsidR="001355C2" w:rsidRDefault="001355C2">
                                      <w:pPr>
                                        <w:jc w:val="right"/>
                                        <w:rPr>
                                          <w:sz w:val="24"/>
                                          <w:szCs w:val="24"/>
                                        </w:rPr>
                                      </w:pPr>
                                    </w:p>
                                  </w:tc>
                                  <w:tc>
                                    <w:tcPr>
                                      <w:tcW w:w="2432" w:type="pct"/>
                                      <w:vAlign w:val="center"/>
                                    </w:tcPr>
                                    <w:p w14:paraId="472119B8" w14:textId="57A7DE63" w:rsidR="001355C2" w:rsidRDefault="001355C2">
                                      <w:pPr>
                                        <w:pStyle w:val="NoSpacing"/>
                                        <w:rPr>
                                          <w:caps/>
                                          <w:color w:val="ED7D31"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5BE477DE" w14:textId="7A678A89" w:rsidR="001355C2" w:rsidRDefault="00A12A57">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6D75930" w14:textId="54089089" w:rsidR="001355C2" w:rsidRDefault="00396C2F">
                                          <w:pPr>
                                            <w:pStyle w:val="NoSpacing"/>
                                            <w:rPr>
                                              <w:color w:val="ED7D31" w:themeColor="accent2"/>
                                              <w:sz w:val="26"/>
                                              <w:szCs w:val="26"/>
                                            </w:rPr>
                                          </w:pPr>
                                          <w:r>
                                            <w:rPr>
                                              <w:color w:val="ED7D31" w:themeColor="accent2"/>
                                              <w:sz w:val="26"/>
                                              <w:szCs w:val="26"/>
                                            </w:rPr>
                                            <w:t xml:space="preserve">Team: </w:t>
                                          </w:r>
                                          <w:r w:rsidR="00A12A57">
                                            <w:rPr>
                                              <w:color w:val="ED7D31" w:themeColor="accent2"/>
                                              <w:sz w:val="26"/>
                                              <w:szCs w:val="26"/>
                                            </w:rPr>
                                            <w:t>The Good Karma</w:t>
                                          </w:r>
                                        </w:p>
                                      </w:sdtContent>
                                    </w:sdt>
                                    <w:p w14:paraId="6E856299" w14:textId="707EDD74" w:rsidR="001355C2" w:rsidRDefault="00A1459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12A57">
                                            <w:rPr>
                                              <w:color w:val="44546A" w:themeColor="text2"/>
                                            </w:rPr>
                                            <w:t>Abhishek Saha, Aman Jiddewar, Pooja Adiseshu &amp; Prajwal Kuchangi</w:t>
                                          </w:r>
                                        </w:sdtContent>
                                      </w:sdt>
                                    </w:p>
                                  </w:tc>
                                </w:tr>
                              </w:tbl>
                              <w:p w14:paraId="2721624F" w14:textId="77777777" w:rsidR="001355C2" w:rsidRDefault="001355C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5632FC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1355C2" w14:paraId="0E247176" w14:textId="77777777">
                            <w:trPr>
                              <w:jc w:val="center"/>
                            </w:trPr>
                            <w:tc>
                              <w:tcPr>
                                <w:tcW w:w="2568" w:type="pct"/>
                                <w:vAlign w:val="center"/>
                              </w:tcPr>
                              <w:p w14:paraId="48979AF8" w14:textId="77777777" w:rsidR="001355C2" w:rsidRDefault="001355C2">
                                <w:pPr>
                                  <w:jc w:val="right"/>
                                </w:pPr>
                                <w:r>
                                  <w:rPr>
                                    <w:noProof/>
                                  </w:rPr>
                                  <w:drawing>
                                    <wp:inline distT="0" distB="0" distL="0" distR="0" wp14:anchorId="1514F7FF" wp14:editId="607AA509">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B21043E" w14:textId="273228B8" w:rsidR="001355C2" w:rsidRDefault="00A12A57">
                                    <w:pPr>
                                      <w:pStyle w:val="NoSpacing"/>
                                      <w:spacing w:line="312" w:lineRule="auto"/>
                                      <w:jc w:val="right"/>
                                      <w:rPr>
                                        <w:caps/>
                                        <w:color w:val="191919" w:themeColor="text1" w:themeTint="E6"/>
                                        <w:sz w:val="72"/>
                                        <w:szCs w:val="72"/>
                                      </w:rPr>
                                    </w:pPr>
                                    <w:r>
                                      <w:rPr>
                                        <w:caps/>
                                        <w:color w:val="191919" w:themeColor="text1" w:themeTint="E6"/>
                                        <w:sz w:val="72"/>
                                        <w:szCs w:val="72"/>
                                      </w:rPr>
                                      <w:t>Executive Summary</w:t>
                                    </w:r>
                                  </w:p>
                                </w:sdtContent>
                              </w:sdt>
                              <w:p w14:paraId="3CACAACC" w14:textId="7FF004EB" w:rsidR="001355C2" w:rsidRDefault="001355C2">
                                <w:pPr>
                                  <w:jc w:val="right"/>
                                  <w:rPr>
                                    <w:sz w:val="24"/>
                                    <w:szCs w:val="24"/>
                                  </w:rPr>
                                </w:pPr>
                              </w:p>
                            </w:tc>
                            <w:tc>
                              <w:tcPr>
                                <w:tcW w:w="2432" w:type="pct"/>
                                <w:vAlign w:val="center"/>
                              </w:tcPr>
                              <w:p w14:paraId="472119B8" w14:textId="57A7DE63" w:rsidR="001355C2" w:rsidRDefault="001355C2">
                                <w:pPr>
                                  <w:pStyle w:val="NoSpacing"/>
                                  <w:rPr>
                                    <w:caps/>
                                    <w:color w:val="ED7D31"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5BE477DE" w14:textId="7A678A89" w:rsidR="001355C2" w:rsidRDefault="00A12A57">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6D75930" w14:textId="54089089" w:rsidR="001355C2" w:rsidRDefault="00396C2F">
                                    <w:pPr>
                                      <w:pStyle w:val="NoSpacing"/>
                                      <w:rPr>
                                        <w:color w:val="ED7D31" w:themeColor="accent2"/>
                                        <w:sz w:val="26"/>
                                        <w:szCs w:val="26"/>
                                      </w:rPr>
                                    </w:pPr>
                                    <w:r>
                                      <w:rPr>
                                        <w:color w:val="ED7D31" w:themeColor="accent2"/>
                                        <w:sz w:val="26"/>
                                        <w:szCs w:val="26"/>
                                      </w:rPr>
                                      <w:t xml:space="preserve">Team: </w:t>
                                    </w:r>
                                    <w:r w:rsidR="00A12A57">
                                      <w:rPr>
                                        <w:color w:val="ED7D31" w:themeColor="accent2"/>
                                        <w:sz w:val="26"/>
                                        <w:szCs w:val="26"/>
                                      </w:rPr>
                                      <w:t>The Good Karma</w:t>
                                    </w:r>
                                  </w:p>
                                </w:sdtContent>
                              </w:sdt>
                              <w:p w14:paraId="6E856299" w14:textId="707EDD74" w:rsidR="001355C2" w:rsidRDefault="00A1459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12A57">
                                      <w:rPr>
                                        <w:color w:val="44546A" w:themeColor="text2"/>
                                      </w:rPr>
                                      <w:t>Abhishek Saha, Aman Jiddewar, Pooja Adiseshu &amp; Prajwal Kuchangi</w:t>
                                    </w:r>
                                  </w:sdtContent>
                                </w:sdt>
                              </w:p>
                            </w:tc>
                          </w:tr>
                        </w:tbl>
                        <w:p w14:paraId="2721624F" w14:textId="77777777" w:rsidR="001355C2" w:rsidRDefault="001355C2"/>
                      </w:txbxContent>
                    </v:textbox>
                    <w10:wrap anchorx="page" anchory="page"/>
                  </v:shape>
                </w:pict>
              </mc:Fallback>
            </mc:AlternateContent>
          </w:r>
          <w:r>
            <w:rPr>
              <w:rFonts w:ascii="Arial" w:hAnsi="Arial" w:cs="Arial"/>
            </w:rPr>
            <w:br w:type="page"/>
          </w:r>
        </w:p>
      </w:sdtContent>
    </w:sdt>
    <w:p w14:paraId="53526531" w14:textId="6D4549F1" w:rsidR="0089626B" w:rsidRPr="0089626B" w:rsidRDefault="00821434" w:rsidP="008E2EA8">
      <w:pPr>
        <w:jc w:val="both"/>
        <w:rPr>
          <w:rFonts w:ascii="Arial" w:hAnsi="Arial" w:cs="Arial"/>
        </w:rPr>
      </w:pPr>
      <w:r w:rsidRPr="00D60281">
        <w:rPr>
          <w:rFonts w:ascii="Arial" w:hAnsi="Arial" w:cs="Arial"/>
          <w:b/>
        </w:rPr>
        <w:lastRenderedPageBreak/>
        <w:t>Answer</w:t>
      </w:r>
      <w:r w:rsidR="0089626B" w:rsidRPr="00D60281">
        <w:rPr>
          <w:rFonts w:ascii="Arial" w:hAnsi="Arial" w:cs="Arial"/>
          <w:b/>
        </w:rPr>
        <w:t xml:space="preserve"> </w:t>
      </w:r>
      <w:r w:rsidR="00DF2D85" w:rsidRPr="00D60281">
        <w:rPr>
          <w:rFonts w:ascii="Arial" w:hAnsi="Arial" w:cs="Arial"/>
          <w:b/>
        </w:rPr>
        <w:t>1</w:t>
      </w:r>
      <w:r w:rsidR="00317B11">
        <w:rPr>
          <w:rFonts w:ascii="Arial" w:hAnsi="Arial" w:cs="Arial"/>
          <w:b/>
        </w:rPr>
        <w:t>:</w:t>
      </w:r>
      <w:r w:rsidR="0089626B" w:rsidRPr="0089626B">
        <w:rPr>
          <w:rFonts w:ascii="Arial" w:hAnsi="Arial" w:cs="Arial"/>
        </w:rPr>
        <w:t xml:space="preserve"> Poison pill defense, also known as </w:t>
      </w:r>
      <w:r w:rsidR="00302B3E">
        <w:rPr>
          <w:rFonts w:ascii="Arial" w:hAnsi="Arial" w:cs="Arial"/>
        </w:rPr>
        <w:t xml:space="preserve">a </w:t>
      </w:r>
      <w:r w:rsidR="0089626B" w:rsidRPr="00302B3E">
        <w:rPr>
          <w:rFonts w:ascii="Arial" w:hAnsi="Arial" w:cs="Arial"/>
          <w:noProof/>
        </w:rPr>
        <w:t>shareholder</w:t>
      </w:r>
      <w:r w:rsidR="0089626B" w:rsidRPr="0089626B">
        <w:rPr>
          <w:rFonts w:ascii="Arial" w:hAnsi="Arial" w:cs="Arial"/>
        </w:rPr>
        <w:t xml:space="preserve"> rights plan, is used by </w:t>
      </w:r>
      <w:r w:rsidR="00E769B3">
        <w:rPr>
          <w:rFonts w:ascii="Arial" w:hAnsi="Arial" w:cs="Arial"/>
        </w:rPr>
        <w:t xml:space="preserve">the </w:t>
      </w:r>
      <w:r w:rsidR="0089626B" w:rsidRPr="00E769B3">
        <w:rPr>
          <w:rFonts w:ascii="Arial" w:hAnsi="Arial" w:cs="Arial"/>
          <w:noProof/>
        </w:rPr>
        <w:t>company's</w:t>
      </w:r>
      <w:r w:rsidR="0089626B" w:rsidRPr="0089626B">
        <w:rPr>
          <w:rFonts w:ascii="Arial" w:hAnsi="Arial" w:cs="Arial"/>
        </w:rPr>
        <w:t xml:space="preserve"> board of directors to guard against a hostile takeover. </w:t>
      </w:r>
      <w:r w:rsidR="0089626B" w:rsidRPr="002425CD">
        <w:rPr>
          <w:rFonts w:ascii="Arial" w:hAnsi="Arial" w:cs="Arial"/>
          <w:noProof/>
        </w:rPr>
        <w:t>This</w:t>
      </w:r>
      <w:r w:rsidR="0089626B" w:rsidRPr="0089626B">
        <w:rPr>
          <w:rFonts w:ascii="Arial" w:hAnsi="Arial" w:cs="Arial"/>
        </w:rPr>
        <w:t xml:space="preserve"> works as follows, if anyone shareholder buys a large chunk, for instance, 20%, of the company shares he is a bidder now who can take over the company. In reaction to this, the board issues new shares at a discounted price and the other shareholders have the right to buy newly released shares. If the other shareholders can buy the recently issued shares at a discounted price, the percentage of that one shareholder dilutes and the cost of bid increases. Under these circumstances, the bidder will be less inclined to take over the corporation without the board's approval.</w:t>
      </w:r>
    </w:p>
    <w:p w14:paraId="0CEF34A6" w14:textId="31423428" w:rsidR="0089626B" w:rsidRPr="0089626B" w:rsidRDefault="0089626B" w:rsidP="008E2EA8">
      <w:pPr>
        <w:jc w:val="both"/>
        <w:rPr>
          <w:rFonts w:ascii="Arial" w:hAnsi="Arial" w:cs="Arial"/>
        </w:rPr>
      </w:pPr>
      <w:r w:rsidRPr="0089626B">
        <w:rPr>
          <w:rFonts w:ascii="Arial" w:hAnsi="Arial" w:cs="Arial"/>
        </w:rPr>
        <w:t xml:space="preserve">We argue that it is </w:t>
      </w:r>
      <w:r w:rsidRPr="00872B2D">
        <w:rPr>
          <w:rFonts w:ascii="Arial" w:hAnsi="Arial" w:cs="Arial"/>
          <w:noProof/>
        </w:rPr>
        <w:t>good</w:t>
      </w:r>
      <w:r w:rsidRPr="0089626B">
        <w:rPr>
          <w:rFonts w:ascii="Arial" w:hAnsi="Arial" w:cs="Arial"/>
        </w:rPr>
        <w:t xml:space="preserve"> from </w:t>
      </w:r>
      <w:r w:rsidR="00E769B3">
        <w:rPr>
          <w:rFonts w:ascii="Arial" w:hAnsi="Arial" w:cs="Arial"/>
        </w:rPr>
        <w:t>the</w:t>
      </w:r>
      <w:r w:rsidRPr="0089626B">
        <w:rPr>
          <w:rFonts w:ascii="Arial" w:hAnsi="Arial" w:cs="Arial"/>
        </w:rPr>
        <w:t xml:space="preserve"> shareholder</w:t>
      </w:r>
      <w:r w:rsidR="00E769B3">
        <w:rPr>
          <w:rFonts w:ascii="Arial" w:hAnsi="Arial" w:cs="Arial"/>
        </w:rPr>
        <w:t>s</w:t>
      </w:r>
      <w:r w:rsidRPr="0089626B">
        <w:rPr>
          <w:rFonts w:ascii="Arial" w:hAnsi="Arial" w:cs="Arial"/>
        </w:rPr>
        <w:t xml:space="preserve"> perspective. </w:t>
      </w:r>
    </w:p>
    <w:p w14:paraId="4FC37EAC" w14:textId="38B828D0" w:rsidR="0089626B" w:rsidRPr="0089626B" w:rsidRDefault="00571F1C" w:rsidP="008E2EA8">
      <w:pPr>
        <w:jc w:val="both"/>
        <w:rPr>
          <w:rFonts w:ascii="Arial" w:hAnsi="Arial" w:cs="Arial"/>
        </w:rPr>
      </w:pPr>
      <w:r>
        <w:rPr>
          <w:rStyle w:val="FootnoteReference"/>
          <w:rFonts w:ascii="Arial" w:hAnsi="Arial" w:cs="Arial"/>
        </w:rPr>
        <w:footnoteReference w:id="1"/>
      </w:r>
      <w:r w:rsidR="0089626B" w:rsidRPr="0089626B">
        <w:rPr>
          <w:rFonts w:ascii="Arial" w:hAnsi="Arial" w:cs="Arial"/>
        </w:rPr>
        <w:t xml:space="preserve">Since the board has the power to activate the poison pill, this avoids the bidder from negotiating with other shareholder and getting into an alliance or make malicious attempt to gain control over shares. The poison pill also gives the management buy more time to find </w:t>
      </w:r>
      <w:r w:rsidR="0089626B" w:rsidRPr="00872B2D">
        <w:rPr>
          <w:rFonts w:ascii="Arial" w:hAnsi="Arial" w:cs="Arial"/>
          <w:noProof/>
        </w:rPr>
        <w:t>competing</w:t>
      </w:r>
      <w:r w:rsidR="0089626B" w:rsidRPr="0089626B">
        <w:rPr>
          <w:rFonts w:ascii="Arial" w:hAnsi="Arial" w:cs="Arial"/>
        </w:rPr>
        <w:t xml:space="preserve"> offers from other bidders to maximize the selling </w:t>
      </w:r>
      <w:r w:rsidR="0089626B" w:rsidRPr="002425CD">
        <w:rPr>
          <w:rFonts w:ascii="Arial" w:hAnsi="Arial" w:cs="Arial"/>
          <w:noProof/>
        </w:rPr>
        <w:t>price</w:t>
      </w:r>
      <w:r w:rsidR="0089626B" w:rsidRPr="0089626B">
        <w:rPr>
          <w:rFonts w:ascii="Arial" w:hAnsi="Arial" w:cs="Arial"/>
        </w:rPr>
        <w:t xml:space="preserve"> if </w:t>
      </w:r>
      <w:r w:rsidR="00E769B3">
        <w:rPr>
          <w:rFonts w:ascii="Arial" w:hAnsi="Arial" w:cs="Arial"/>
        </w:rPr>
        <w:t>the board</w:t>
      </w:r>
      <w:r w:rsidR="0089626B" w:rsidRPr="0089626B">
        <w:rPr>
          <w:rFonts w:ascii="Arial" w:hAnsi="Arial" w:cs="Arial"/>
        </w:rPr>
        <w:t xml:space="preserve"> come</w:t>
      </w:r>
      <w:r w:rsidR="00E769B3">
        <w:rPr>
          <w:rFonts w:ascii="Arial" w:hAnsi="Arial" w:cs="Arial"/>
        </w:rPr>
        <w:t>s</w:t>
      </w:r>
      <w:r w:rsidR="0089626B" w:rsidRPr="0089626B">
        <w:rPr>
          <w:rFonts w:ascii="Arial" w:hAnsi="Arial" w:cs="Arial"/>
        </w:rPr>
        <w:t xml:space="preserve"> to </w:t>
      </w:r>
      <w:r w:rsidR="00E769B3">
        <w:rPr>
          <w:rFonts w:ascii="Arial" w:hAnsi="Arial" w:cs="Arial"/>
        </w:rPr>
        <w:t xml:space="preserve">a </w:t>
      </w:r>
      <w:r w:rsidR="0089626B" w:rsidRPr="00E769B3">
        <w:rPr>
          <w:rFonts w:ascii="Arial" w:hAnsi="Arial" w:cs="Arial"/>
          <w:noProof/>
        </w:rPr>
        <w:t>conse</w:t>
      </w:r>
      <w:r w:rsidR="00E769B3" w:rsidRPr="00E769B3">
        <w:rPr>
          <w:rFonts w:ascii="Arial" w:hAnsi="Arial" w:cs="Arial"/>
          <w:noProof/>
        </w:rPr>
        <w:t>n</w:t>
      </w:r>
      <w:r w:rsidR="0089626B" w:rsidRPr="00E769B3">
        <w:rPr>
          <w:rFonts w:ascii="Arial" w:hAnsi="Arial" w:cs="Arial"/>
          <w:noProof/>
        </w:rPr>
        <w:t>s</w:t>
      </w:r>
      <w:r w:rsidR="00E769B3" w:rsidRPr="00E769B3">
        <w:rPr>
          <w:rFonts w:ascii="Arial" w:hAnsi="Arial" w:cs="Arial"/>
          <w:noProof/>
        </w:rPr>
        <w:t>us</w:t>
      </w:r>
      <w:r w:rsidR="0089626B" w:rsidRPr="0089626B">
        <w:rPr>
          <w:rFonts w:ascii="Arial" w:hAnsi="Arial" w:cs="Arial"/>
        </w:rPr>
        <w:t xml:space="preserve"> of allowing the takeover. The poison pill pressurizes the bidder to present their best proposal. </w:t>
      </w:r>
      <w:r w:rsidR="0089626B" w:rsidRPr="00872B2D">
        <w:rPr>
          <w:rFonts w:ascii="Arial" w:hAnsi="Arial" w:cs="Arial"/>
          <w:noProof/>
        </w:rPr>
        <w:t>Since the board works more closely with the</w:t>
      </w:r>
      <w:r w:rsidR="0089626B" w:rsidRPr="0089626B">
        <w:rPr>
          <w:rFonts w:ascii="Arial" w:hAnsi="Arial" w:cs="Arial"/>
        </w:rPr>
        <w:t xml:space="preserve"> managers than the shareholders do, the board is in a better position to access the prospective growth of the company. </w:t>
      </w:r>
    </w:p>
    <w:p w14:paraId="19DF796F" w14:textId="77777777" w:rsidR="0089626B" w:rsidRPr="0089626B" w:rsidRDefault="0089626B" w:rsidP="008E2EA8">
      <w:pPr>
        <w:jc w:val="both"/>
        <w:rPr>
          <w:rFonts w:ascii="Arial" w:hAnsi="Arial" w:cs="Arial"/>
        </w:rPr>
      </w:pPr>
      <w:r w:rsidRPr="0089626B">
        <w:rPr>
          <w:rFonts w:ascii="Arial" w:hAnsi="Arial" w:cs="Arial"/>
        </w:rPr>
        <w:t>Below are few numbers to consolidate our argument:</w:t>
      </w:r>
    </w:p>
    <w:p w14:paraId="2D424ED9" w14:textId="06D3F987" w:rsidR="0089626B" w:rsidRPr="0089626B" w:rsidRDefault="0089626B" w:rsidP="008E2EA8">
      <w:pPr>
        <w:jc w:val="both"/>
        <w:rPr>
          <w:rFonts w:ascii="Arial" w:hAnsi="Arial" w:cs="Arial"/>
        </w:rPr>
      </w:pPr>
      <w:r w:rsidRPr="0089626B">
        <w:rPr>
          <w:rFonts w:ascii="Arial" w:hAnsi="Arial" w:cs="Arial"/>
        </w:rPr>
        <w:t xml:space="preserve">1. </w:t>
      </w:r>
      <w:r w:rsidR="00B466D1">
        <w:rPr>
          <w:rStyle w:val="FootnoteReference"/>
          <w:rFonts w:ascii="Arial" w:hAnsi="Arial" w:cs="Arial"/>
        </w:rPr>
        <w:footnoteReference w:id="2"/>
      </w:r>
      <w:r w:rsidRPr="0089626B">
        <w:rPr>
          <w:rFonts w:ascii="Arial" w:hAnsi="Arial" w:cs="Arial"/>
        </w:rPr>
        <w:t xml:space="preserve">Research at J.P Morgan showed that since 1997, corporations which had poison pill defense mechanism in place has </w:t>
      </w:r>
      <w:r w:rsidRPr="0089626B">
        <w:rPr>
          <w:rFonts w:ascii="Arial" w:hAnsi="Arial" w:cs="Arial"/>
        </w:rPr>
        <w:t>received on average 4 percent premium at takeover over companies without poison pill.</w:t>
      </w:r>
    </w:p>
    <w:p w14:paraId="63D7A529" w14:textId="19A72621" w:rsidR="0089626B" w:rsidRPr="0089626B" w:rsidRDefault="0089626B" w:rsidP="008E2EA8">
      <w:pPr>
        <w:jc w:val="both"/>
        <w:rPr>
          <w:rFonts w:ascii="Arial" w:hAnsi="Arial" w:cs="Arial"/>
        </w:rPr>
      </w:pPr>
      <w:r w:rsidRPr="0089626B">
        <w:rPr>
          <w:rFonts w:ascii="Arial" w:hAnsi="Arial" w:cs="Arial"/>
        </w:rPr>
        <w:t xml:space="preserve">2. 283 companies enacted poison pill </w:t>
      </w:r>
      <w:r w:rsidR="008E2EA8" w:rsidRPr="0089626B">
        <w:rPr>
          <w:rFonts w:ascii="Arial" w:hAnsi="Arial" w:cs="Arial"/>
        </w:rPr>
        <w:t>defense</w:t>
      </w:r>
      <w:r w:rsidRPr="0089626B">
        <w:rPr>
          <w:rFonts w:ascii="Arial" w:hAnsi="Arial" w:cs="Arial"/>
        </w:rPr>
        <w:t xml:space="preserve"> in 2001, much higher from 167 in 2000. </w:t>
      </w:r>
    </w:p>
    <w:p w14:paraId="62E7F6ED" w14:textId="4608D943" w:rsidR="0089626B" w:rsidRPr="0089626B" w:rsidRDefault="0089626B" w:rsidP="008E2EA8">
      <w:pPr>
        <w:jc w:val="both"/>
        <w:rPr>
          <w:rFonts w:ascii="Arial" w:hAnsi="Arial" w:cs="Arial"/>
        </w:rPr>
      </w:pPr>
      <w:r w:rsidRPr="0089626B">
        <w:rPr>
          <w:rFonts w:ascii="Arial" w:hAnsi="Arial" w:cs="Arial"/>
        </w:rPr>
        <w:t xml:space="preserve">3. </w:t>
      </w:r>
      <w:r w:rsidR="00E769B3" w:rsidRPr="00E769B3">
        <w:rPr>
          <w:rFonts w:ascii="Arial" w:hAnsi="Arial" w:cs="Arial"/>
          <w:noProof/>
        </w:rPr>
        <w:t>The adoption of poison pill provision serves Yahoo's desire to be independent</w:t>
      </w:r>
      <w:r w:rsidRPr="00CF61D6">
        <w:rPr>
          <w:rFonts w:ascii="Arial" w:hAnsi="Arial" w:cs="Arial"/>
          <w:noProof/>
        </w:rPr>
        <w:t>,</w:t>
      </w:r>
      <w:r w:rsidR="00CF61D6">
        <w:rPr>
          <w:rFonts w:ascii="Arial" w:hAnsi="Arial" w:cs="Arial"/>
          <w:noProof/>
        </w:rPr>
        <w:t xml:space="preserve"> and</w:t>
      </w:r>
      <w:r w:rsidRPr="00CF61D6">
        <w:rPr>
          <w:rFonts w:ascii="Arial" w:hAnsi="Arial" w:cs="Arial"/>
          <w:noProof/>
        </w:rPr>
        <w:t xml:space="preserve"> this</w:t>
      </w:r>
      <w:r w:rsidRPr="0089626B">
        <w:rPr>
          <w:rFonts w:ascii="Arial" w:hAnsi="Arial" w:cs="Arial"/>
        </w:rPr>
        <w:t xml:space="preserve"> has allowed </w:t>
      </w:r>
      <w:r w:rsidR="00E769B3">
        <w:rPr>
          <w:rFonts w:ascii="Arial" w:hAnsi="Arial" w:cs="Arial"/>
        </w:rPr>
        <w:t>Yahoo</w:t>
      </w:r>
      <w:r w:rsidRPr="0089626B">
        <w:rPr>
          <w:rFonts w:ascii="Arial" w:hAnsi="Arial" w:cs="Arial"/>
        </w:rPr>
        <w:t xml:space="preserve"> to make deals with multiple partners, giving shareholders higher returns. It also survived mergers of Internet company mergers era, </w:t>
      </w:r>
      <w:r w:rsidR="00E5209E">
        <w:rPr>
          <w:rFonts w:ascii="Arial" w:hAnsi="Arial" w:cs="Arial"/>
        </w:rPr>
        <w:t xml:space="preserve">the </w:t>
      </w:r>
      <w:r w:rsidRPr="00E5209E">
        <w:rPr>
          <w:rFonts w:ascii="Arial" w:hAnsi="Arial" w:cs="Arial"/>
          <w:noProof/>
        </w:rPr>
        <w:t>time</w:t>
      </w:r>
      <w:r w:rsidRPr="0089626B">
        <w:rPr>
          <w:rFonts w:ascii="Arial" w:hAnsi="Arial" w:cs="Arial"/>
        </w:rPr>
        <w:t xml:space="preserve"> when AOL-Time Warner Wall Street happened. </w:t>
      </w:r>
    </w:p>
    <w:p w14:paraId="1D9948FD" w14:textId="67EB39AA" w:rsidR="0089626B" w:rsidRDefault="0089626B" w:rsidP="008E2EA8">
      <w:pPr>
        <w:jc w:val="both"/>
        <w:rPr>
          <w:rFonts w:ascii="Arial" w:hAnsi="Arial" w:cs="Arial"/>
        </w:rPr>
      </w:pPr>
      <w:r w:rsidRPr="0089626B">
        <w:rPr>
          <w:rFonts w:ascii="Arial" w:hAnsi="Arial" w:cs="Arial"/>
        </w:rPr>
        <w:t xml:space="preserve">In addition to shareholders benefits, The present employees or shareholders who are wishing for long term gains </w:t>
      </w:r>
      <w:r w:rsidR="00516D18">
        <w:rPr>
          <w:rFonts w:ascii="Arial" w:hAnsi="Arial" w:cs="Arial"/>
        </w:rPr>
        <w:t>will have</w:t>
      </w:r>
      <w:r w:rsidRPr="0089626B">
        <w:rPr>
          <w:rFonts w:ascii="Arial" w:hAnsi="Arial" w:cs="Arial"/>
        </w:rPr>
        <w:t xml:space="preserve"> </w:t>
      </w:r>
      <w:r w:rsidR="00CF61D6">
        <w:rPr>
          <w:rFonts w:ascii="Arial" w:hAnsi="Arial" w:cs="Arial"/>
        </w:rPr>
        <w:t xml:space="preserve">the </w:t>
      </w:r>
      <w:r w:rsidRPr="00CF61D6">
        <w:rPr>
          <w:rFonts w:ascii="Arial" w:hAnsi="Arial" w:cs="Arial"/>
          <w:noProof/>
        </w:rPr>
        <w:t>confidence</w:t>
      </w:r>
      <w:r w:rsidRPr="0089626B">
        <w:rPr>
          <w:rFonts w:ascii="Arial" w:hAnsi="Arial" w:cs="Arial"/>
        </w:rPr>
        <w:t xml:space="preserve"> to invest in the company, increasing firm-employee bonding. </w:t>
      </w:r>
      <w:bookmarkStart w:id="0" w:name="_GoBack"/>
      <w:r w:rsidRPr="0089626B">
        <w:rPr>
          <w:rFonts w:ascii="Arial" w:hAnsi="Arial" w:cs="Arial"/>
        </w:rPr>
        <w:t>Poison pill ensures long term innovation which is necessary for the development and well</w:t>
      </w:r>
      <w:r w:rsidR="008E2EA8">
        <w:rPr>
          <w:rFonts w:ascii="Arial" w:hAnsi="Arial" w:cs="Arial"/>
        </w:rPr>
        <w:t>-</w:t>
      </w:r>
      <w:r w:rsidRPr="0089626B">
        <w:rPr>
          <w:rFonts w:ascii="Arial" w:hAnsi="Arial" w:cs="Arial"/>
        </w:rPr>
        <w:t>being of the society overall.</w:t>
      </w:r>
      <w:bookmarkEnd w:id="0"/>
    </w:p>
    <w:p w14:paraId="46100F7D" w14:textId="77777777" w:rsidR="00D60281" w:rsidRDefault="00D60281" w:rsidP="008E2EA8">
      <w:pPr>
        <w:jc w:val="both"/>
        <w:rPr>
          <w:rFonts w:ascii="Arial" w:hAnsi="Arial" w:cs="Arial"/>
        </w:rPr>
      </w:pPr>
    </w:p>
    <w:p w14:paraId="1785F297" w14:textId="04D21D11" w:rsidR="00692125" w:rsidRPr="00692125" w:rsidRDefault="00692125" w:rsidP="00692125">
      <w:pPr>
        <w:jc w:val="both"/>
        <w:rPr>
          <w:rFonts w:ascii="Arial" w:hAnsi="Arial" w:cs="Arial"/>
        </w:rPr>
      </w:pPr>
      <w:r w:rsidRPr="00D60281">
        <w:rPr>
          <w:rFonts w:ascii="Arial" w:hAnsi="Arial" w:cs="Arial"/>
          <w:b/>
        </w:rPr>
        <w:t>Answer 2.a</w:t>
      </w:r>
      <w:r w:rsidR="00317B11">
        <w:rPr>
          <w:rFonts w:ascii="Arial" w:hAnsi="Arial" w:cs="Arial"/>
          <w:b/>
        </w:rPr>
        <w:t>:</w:t>
      </w:r>
      <w:r w:rsidRPr="00692125">
        <w:rPr>
          <w:rFonts w:ascii="Arial" w:hAnsi="Arial" w:cs="Arial"/>
        </w:rPr>
        <w:t xml:space="preserve"> According to the Willis Report, UGG board identified six significant risks which seem feasible to focus on an estimate. </w:t>
      </w:r>
    </w:p>
    <w:p w14:paraId="08B84108" w14:textId="3F943024" w:rsidR="00692125" w:rsidRPr="00E83060" w:rsidRDefault="00692125" w:rsidP="00E83060">
      <w:pPr>
        <w:pStyle w:val="ListParagraph"/>
        <w:numPr>
          <w:ilvl w:val="0"/>
          <w:numId w:val="6"/>
        </w:numPr>
        <w:jc w:val="both"/>
        <w:rPr>
          <w:rFonts w:ascii="Arial" w:hAnsi="Arial" w:cs="Arial"/>
        </w:rPr>
      </w:pPr>
      <w:r w:rsidRPr="00E83060">
        <w:rPr>
          <w:rFonts w:ascii="Arial" w:hAnsi="Arial" w:cs="Arial"/>
        </w:rPr>
        <w:t>Weather - Impact on harvested yields</w:t>
      </w:r>
      <w:r w:rsidR="00B7638F">
        <w:rPr>
          <w:rFonts w:ascii="Arial" w:hAnsi="Arial" w:cs="Arial"/>
        </w:rPr>
        <w:t>.</w:t>
      </w:r>
    </w:p>
    <w:p w14:paraId="1FA38FE6" w14:textId="0FC1F8A1" w:rsidR="00692125" w:rsidRPr="00E83060" w:rsidRDefault="00692125" w:rsidP="00E83060">
      <w:pPr>
        <w:pStyle w:val="ListParagraph"/>
        <w:numPr>
          <w:ilvl w:val="0"/>
          <w:numId w:val="6"/>
        </w:numPr>
        <w:jc w:val="both"/>
        <w:rPr>
          <w:rFonts w:ascii="Arial" w:hAnsi="Arial" w:cs="Arial"/>
        </w:rPr>
      </w:pPr>
      <w:r w:rsidRPr="00E83060">
        <w:rPr>
          <w:rFonts w:ascii="Arial" w:hAnsi="Arial" w:cs="Arial"/>
        </w:rPr>
        <w:t>Environmental Liability - Inadvertent release of toxic substances to the external environment.</w:t>
      </w:r>
    </w:p>
    <w:p w14:paraId="60D422AD" w14:textId="33079D16" w:rsidR="00692125" w:rsidRPr="00E83060" w:rsidRDefault="00692125" w:rsidP="00E83060">
      <w:pPr>
        <w:pStyle w:val="ListParagraph"/>
        <w:numPr>
          <w:ilvl w:val="0"/>
          <w:numId w:val="6"/>
        </w:numPr>
        <w:jc w:val="both"/>
        <w:rPr>
          <w:rFonts w:ascii="Arial" w:hAnsi="Arial" w:cs="Arial"/>
        </w:rPr>
      </w:pPr>
      <w:r w:rsidRPr="00E83060">
        <w:rPr>
          <w:rFonts w:ascii="Arial" w:hAnsi="Arial" w:cs="Arial"/>
        </w:rPr>
        <w:t>Counterparty - Failure of another company, such as a supplier, will not meet contractual obligations, such as the delivery of inventory to sell</w:t>
      </w:r>
      <w:r w:rsidR="00B7638F">
        <w:rPr>
          <w:rFonts w:ascii="Arial" w:hAnsi="Arial" w:cs="Arial"/>
        </w:rPr>
        <w:t>.</w:t>
      </w:r>
    </w:p>
    <w:p w14:paraId="4543228F" w14:textId="46221DD3" w:rsidR="00692125" w:rsidRPr="00E83060" w:rsidRDefault="00692125" w:rsidP="00E83060">
      <w:pPr>
        <w:pStyle w:val="ListParagraph"/>
        <w:numPr>
          <w:ilvl w:val="0"/>
          <w:numId w:val="6"/>
        </w:numPr>
        <w:jc w:val="both"/>
        <w:rPr>
          <w:rFonts w:ascii="Arial" w:hAnsi="Arial" w:cs="Arial"/>
        </w:rPr>
      </w:pPr>
      <w:r w:rsidRPr="00E83060">
        <w:rPr>
          <w:rFonts w:ascii="Arial" w:hAnsi="Arial" w:cs="Arial"/>
        </w:rPr>
        <w:t>Credit - Failure of another company to pay money owed to UGG</w:t>
      </w:r>
      <w:r w:rsidR="00B7638F">
        <w:rPr>
          <w:rFonts w:ascii="Arial" w:hAnsi="Arial" w:cs="Arial"/>
        </w:rPr>
        <w:t>.</w:t>
      </w:r>
    </w:p>
    <w:p w14:paraId="3B91AE60" w14:textId="25DEF069" w:rsidR="00692125" w:rsidRPr="00E83060" w:rsidRDefault="00692125" w:rsidP="00E83060">
      <w:pPr>
        <w:pStyle w:val="ListParagraph"/>
        <w:numPr>
          <w:ilvl w:val="0"/>
          <w:numId w:val="6"/>
        </w:numPr>
        <w:jc w:val="both"/>
        <w:rPr>
          <w:rFonts w:ascii="Arial" w:hAnsi="Arial" w:cs="Arial"/>
        </w:rPr>
      </w:pPr>
      <w:r w:rsidRPr="00E83060">
        <w:rPr>
          <w:rFonts w:ascii="Arial" w:hAnsi="Arial" w:cs="Arial"/>
        </w:rPr>
        <w:t>Inventory - Spoilage of inventory</w:t>
      </w:r>
      <w:r w:rsidR="00B7638F">
        <w:rPr>
          <w:rFonts w:ascii="Arial" w:hAnsi="Arial" w:cs="Arial"/>
        </w:rPr>
        <w:t>.</w:t>
      </w:r>
    </w:p>
    <w:p w14:paraId="3A2365E2" w14:textId="74B9ADEE" w:rsidR="00E83060" w:rsidRPr="00E83060" w:rsidRDefault="00692125" w:rsidP="00E83060">
      <w:pPr>
        <w:pStyle w:val="ListParagraph"/>
        <w:numPr>
          <w:ilvl w:val="0"/>
          <w:numId w:val="6"/>
        </w:numPr>
        <w:jc w:val="both"/>
        <w:rPr>
          <w:rFonts w:ascii="Arial" w:hAnsi="Arial" w:cs="Arial"/>
        </w:rPr>
      </w:pPr>
      <w:r w:rsidRPr="00E83060">
        <w:rPr>
          <w:rFonts w:ascii="Arial" w:hAnsi="Arial" w:cs="Arial"/>
        </w:rPr>
        <w:t>Commodity - Price falls while holding in inventory</w:t>
      </w:r>
      <w:r w:rsidR="00B7638F">
        <w:rPr>
          <w:rFonts w:ascii="Arial" w:hAnsi="Arial" w:cs="Arial"/>
        </w:rPr>
        <w:t>.</w:t>
      </w:r>
    </w:p>
    <w:p w14:paraId="258A341C" w14:textId="10B518E5" w:rsidR="00692125" w:rsidRPr="00E83060" w:rsidRDefault="00F14B9F" w:rsidP="00E83060">
      <w:pPr>
        <w:jc w:val="both"/>
        <w:rPr>
          <w:rFonts w:ascii="Arial" w:hAnsi="Arial" w:cs="Arial"/>
        </w:rPr>
      </w:pPr>
      <w:r w:rsidRPr="00E22B4E">
        <w:rPr>
          <w:noProof/>
        </w:rPr>
        <w:lastRenderedPageBreak/>
        <w:drawing>
          <wp:anchor distT="0" distB="0" distL="114300" distR="114300" simplePos="0" relativeHeight="251660288" behindDoc="0" locked="0" layoutInCell="1" allowOverlap="1" wp14:anchorId="53D4AE9D" wp14:editId="544559BC">
            <wp:simplePos x="0" y="0"/>
            <wp:positionH relativeFrom="margin">
              <wp:posOffset>-100330</wp:posOffset>
            </wp:positionH>
            <wp:positionV relativeFrom="paragraph">
              <wp:posOffset>652145</wp:posOffset>
            </wp:positionV>
            <wp:extent cx="2943860" cy="1080135"/>
            <wp:effectExtent l="0" t="0" r="8890" b="5715"/>
            <wp:wrapTopAndBottom/>
            <wp:docPr id="1" name="Picture 1" descr="cid:image001.jpg@01D4B0B5.2F566F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B0B5.2F566FB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943860" cy="1080135"/>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2336" behindDoc="0" locked="0" layoutInCell="1" allowOverlap="1" wp14:anchorId="49B0EA4F" wp14:editId="4EDB2B4B">
                <wp:simplePos x="0" y="0"/>
                <wp:positionH relativeFrom="margin">
                  <wp:posOffset>-635</wp:posOffset>
                </wp:positionH>
                <wp:positionV relativeFrom="paragraph">
                  <wp:posOffset>1640840</wp:posOffset>
                </wp:positionV>
                <wp:extent cx="2957830" cy="2667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957830" cy="266700"/>
                        </a:xfrm>
                        <a:prstGeom prst="rect">
                          <a:avLst/>
                        </a:prstGeom>
                        <a:solidFill>
                          <a:prstClr val="white"/>
                        </a:solidFill>
                        <a:ln>
                          <a:noFill/>
                        </a:ln>
                      </wps:spPr>
                      <wps:txbx>
                        <w:txbxContent>
                          <w:p w14:paraId="5512CF71" w14:textId="55299758" w:rsidR="007F34EA" w:rsidRPr="0077345A" w:rsidRDefault="007F34EA" w:rsidP="007F34EA">
                            <w:pPr>
                              <w:pStyle w:val="Caption"/>
                              <w:rPr>
                                <w:rFonts w:ascii="Arial" w:hAnsi="Arial" w:cs="Arial"/>
                                <w:noProof/>
                              </w:rPr>
                            </w:pPr>
                            <w:r>
                              <w:t xml:space="preserve">Table </w:t>
                            </w:r>
                            <w:r w:rsidR="00394269">
                              <w:rPr>
                                <w:noProof/>
                              </w:rPr>
                              <w:fldChar w:fldCharType="begin"/>
                            </w:r>
                            <w:r w:rsidR="00394269">
                              <w:rPr>
                                <w:noProof/>
                              </w:rPr>
                              <w:instrText xml:space="preserve"> SEQ Figure \* ARABIC </w:instrText>
                            </w:r>
                            <w:r w:rsidR="00394269">
                              <w:rPr>
                                <w:noProof/>
                              </w:rPr>
                              <w:fldChar w:fldCharType="separate"/>
                            </w:r>
                            <w:r>
                              <w:rPr>
                                <w:noProof/>
                              </w:rPr>
                              <w:t>1</w:t>
                            </w:r>
                            <w:r w:rsidR="00394269">
                              <w:rPr>
                                <w:noProof/>
                              </w:rPr>
                              <w:fldChar w:fldCharType="end"/>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49B0EA4F" id="Text Box 2" o:spid="_x0000_s1027" type="#_x0000_t202" style="position:absolute;left:0;text-align:left;margin-left:-.05pt;margin-top:129.2pt;width:232.9pt;height:21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0PMgIAAGcEAAAOAAAAZHJzL2Uyb0RvYy54bWysVMFu2zAMvQ/YPwi6L04yLG2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" stroked="f">
                <v:textbox style="mso-fit-shape-to-text:t" inset="0,0,0,0">
                  <w:txbxContent>
                    <w:p w14:paraId="5512CF71" w14:textId="55299758" w:rsidR="007F34EA" w:rsidRPr="0077345A" w:rsidRDefault="007F34EA" w:rsidP="007F34EA">
                      <w:pPr>
                        <w:pStyle w:val="Caption"/>
                        <w:rPr>
                          <w:rFonts w:ascii="Arial" w:hAnsi="Arial" w:cs="Arial"/>
                          <w:noProof/>
                        </w:rPr>
                      </w:pPr>
                      <w:r>
                        <w:t xml:space="preserve">Table </w:t>
                      </w:r>
                      <w:fldSimple w:instr=" SEQ Figure \* ARABIC ">
                        <w:r>
                          <w:rPr>
                            <w:noProof/>
                          </w:rPr>
                          <w:t>1</w:t>
                        </w:r>
                      </w:fldSimple>
                      <w:r>
                        <w:t>.1</w:t>
                      </w:r>
                    </w:p>
                  </w:txbxContent>
                </v:textbox>
                <w10:wrap type="topAndBottom" anchorx="margin"/>
              </v:shape>
            </w:pict>
          </mc:Fallback>
        </mc:AlternateContent>
      </w:r>
      <w:r w:rsidR="00692125" w:rsidRPr="00E83060">
        <w:rPr>
          <w:rFonts w:ascii="Arial" w:hAnsi="Arial" w:cs="Arial"/>
        </w:rPr>
        <w:t xml:space="preserve">Weather, </w:t>
      </w:r>
      <w:r w:rsidR="00692125" w:rsidRPr="00872B2D">
        <w:rPr>
          <w:rFonts w:ascii="Arial" w:hAnsi="Arial" w:cs="Arial"/>
          <w:noProof/>
        </w:rPr>
        <w:t>Inventory,</w:t>
      </w:r>
      <w:r w:rsidR="00692125" w:rsidRPr="00E83060">
        <w:rPr>
          <w:rFonts w:ascii="Arial" w:hAnsi="Arial" w:cs="Arial"/>
        </w:rPr>
        <w:t xml:space="preserve"> and Commodity are risks that would vary with the type of grain. We should also note that the impact and variance would be high in weather factor relative to inventory and commodity. To consider this in calculating a more accurate </w:t>
      </w:r>
      <w:r w:rsidR="00E42CEA">
        <w:rPr>
          <w:rFonts w:ascii="Arial" w:hAnsi="Arial" w:cs="Arial"/>
        </w:rPr>
        <w:t>Earnings at Risk (EaR)</w:t>
      </w:r>
      <w:r w:rsidR="00692125" w:rsidRPr="00E83060">
        <w:rPr>
          <w:rFonts w:ascii="Arial" w:hAnsi="Arial" w:cs="Arial"/>
        </w:rPr>
        <w:t xml:space="preserve">, we propose to segment by </w:t>
      </w:r>
      <w:r w:rsidR="001D5567">
        <w:rPr>
          <w:rFonts w:ascii="Arial" w:hAnsi="Arial" w:cs="Arial"/>
        </w:rPr>
        <w:t>b</w:t>
      </w:r>
      <w:r w:rsidR="00692125" w:rsidRPr="00E83060">
        <w:rPr>
          <w:rFonts w:ascii="Arial" w:hAnsi="Arial" w:cs="Arial"/>
        </w:rPr>
        <w:t xml:space="preserve">usiness function, </w:t>
      </w:r>
      <w:r w:rsidR="001D5567">
        <w:rPr>
          <w:rFonts w:ascii="Arial" w:hAnsi="Arial" w:cs="Arial"/>
        </w:rPr>
        <w:t>b</w:t>
      </w:r>
      <w:r w:rsidR="00692125" w:rsidRPr="00E83060">
        <w:rPr>
          <w:rFonts w:ascii="Arial" w:hAnsi="Arial" w:cs="Arial"/>
        </w:rPr>
        <w:t xml:space="preserve">oard grain or not, and </w:t>
      </w:r>
      <w:r w:rsidR="001D5567">
        <w:rPr>
          <w:rFonts w:ascii="Arial" w:hAnsi="Arial" w:cs="Arial"/>
        </w:rPr>
        <w:t>i</w:t>
      </w:r>
      <w:r w:rsidR="00692125" w:rsidRPr="00E83060">
        <w:rPr>
          <w:rFonts w:ascii="Arial" w:hAnsi="Arial" w:cs="Arial"/>
        </w:rPr>
        <w:t>ndividual grain type, in that order. The explanation for this is as follows.</w:t>
      </w:r>
    </w:p>
    <w:p w14:paraId="41FDD69C" w14:textId="1CD193DD" w:rsidR="00692125" w:rsidRPr="00692125" w:rsidRDefault="00692125" w:rsidP="00692125">
      <w:pPr>
        <w:jc w:val="both"/>
        <w:rPr>
          <w:rFonts w:ascii="Arial" w:hAnsi="Arial" w:cs="Arial"/>
        </w:rPr>
      </w:pPr>
      <w:r w:rsidRPr="00692125">
        <w:rPr>
          <w:rFonts w:ascii="Arial" w:hAnsi="Arial" w:cs="Arial"/>
        </w:rPr>
        <w:t xml:space="preserve">To calculate EaR due to weather, first, we will segment the business based on the business function. From the 1998 data, we can estimate the % contribution to revenue of each business function and allocate risk accordingly. From table 1.1, we can see that grain handling contributes to almost half the operating income. Next, we can see the variation of board grains and non-board grains within the business functions. The idea behind this is that since the government issuing a floor price regulates the board grain prices, its price fluctuation will be less and the impact on UGG’s revenue also will be less. Though, UGG is still not immune to the effect on its income by the change in the quantity of the board grains which could differ due to weather conditions. We can safely assume that risks associated with board and non-board grains are significantly different and need to </w:t>
      </w:r>
      <w:r w:rsidRPr="00872B2D">
        <w:rPr>
          <w:rFonts w:ascii="Arial" w:hAnsi="Arial" w:cs="Arial"/>
          <w:noProof/>
        </w:rPr>
        <w:t>be calculated</w:t>
      </w:r>
      <w:r w:rsidRPr="00692125">
        <w:rPr>
          <w:rFonts w:ascii="Arial" w:hAnsi="Arial" w:cs="Arial"/>
        </w:rPr>
        <w:t xml:space="preserve"> separately</w:t>
      </w:r>
    </w:p>
    <w:p w14:paraId="421F009A" w14:textId="77777777" w:rsidR="00692125" w:rsidRPr="00692125" w:rsidRDefault="00692125" w:rsidP="00692125">
      <w:pPr>
        <w:jc w:val="both"/>
        <w:rPr>
          <w:rFonts w:ascii="Arial" w:hAnsi="Arial" w:cs="Arial"/>
        </w:rPr>
      </w:pPr>
      <w:r w:rsidRPr="00692125">
        <w:rPr>
          <w:rFonts w:ascii="Arial" w:hAnsi="Arial" w:cs="Arial"/>
        </w:rPr>
        <w:t xml:space="preserve">Ideally, we would have the price variation of each crop within the business functions, because the weather conditions will affect each yield differently for instance lack of rain affects wheat differently as opposed to barley or corn. Which would adversely affect </w:t>
      </w:r>
      <w:r w:rsidRPr="00692125">
        <w:rPr>
          <w:rFonts w:ascii="Arial" w:hAnsi="Arial" w:cs="Arial"/>
        </w:rPr>
        <w:t>the quantity of the crop produced which in turn affects UGG’s revenue and operations.</w:t>
      </w:r>
    </w:p>
    <w:p w14:paraId="4319E78C" w14:textId="0E93608F" w:rsidR="00E22B4E" w:rsidRDefault="00692125" w:rsidP="00F14B9F">
      <w:pPr>
        <w:jc w:val="both"/>
        <w:rPr>
          <w:rFonts w:ascii="Arial" w:hAnsi="Arial" w:cs="Arial"/>
        </w:rPr>
      </w:pPr>
      <w:r w:rsidRPr="00692125">
        <w:rPr>
          <w:rFonts w:ascii="Arial" w:hAnsi="Arial" w:cs="Arial"/>
        </w:rPr>
        <w:t xml:space="preserve">Therefore, by analyzing the distribution, we can assign the risk associated with each crop using probability. Also, we know that there is only a 10% chance that the plants might </w:t>
      </w:r>
      <w:r w:rsidRPr="00872B2D">
        <w:rPr>
          <w:rFonts w:ascii="Arial" w:hAnsi="Arial" w:cs="Arial"/>
          <w:noProof/>
        </w:rPr>
        <w:t>be destroyed</w:t>
      </w:r>
      <w:r w:rsidRPr="00692125">
        <w:rPr>
          <w:rFonts w:ascii="Arial" w:hAnsi="Arial" w:cs="Arial"/>
        </w:rPr>
        <w:t xml:space="preserve"> due to adverse weather. We can overlay this probability to the price variations.</w:t>
      </w:r>
    </w:p>
    <w:p w14:paraId="46EC0792" w14:textId="77777777" w:rsidR="00D60281" w:rsidRPr="00E22B4E" w:rsidRDefault="00D60281" w:rsidP="00F14B9F">
      <w:pPr>
        <w:jc w:val="both"/>
        <w:rPr>
          <w:rFonts w:ascii="Arial" w:hAnsi="Arial" w:cs="Arial"/>
        </w:rPr>
      </w:pPr>
    </w:p>
    <w:p w14:paraId="1B84E34E" w14:textId="40B8C5D4" w:rsidR="00860071" w:rsidRPr="00860071" w:rsidRDefault="00860071" w:rsidP="00860071">
      <w:pPr>
        <w:jc w:val="both"/>
        <w:rPr>
          <w:rFonts w:ascii="Arial" w:hAnsi="Arial" w:cs="Arial"/>
        </w:rPr>
      </w:pPr>
      <w:r w:rsidRPr="00D60281">
        <w:rPr>
          <w:rFonts w:ascii="Arial" w:hAnsi="Arial" w:cs="Arial"/>
          <w:b/>
        </w:rPr>
        <w:t>Answer 2.b</w:t>
      </w:r>
      <w:r w:rsidR="00317B11">
        <w:rPr>
          <w:rFonts w:ascii="Arial" w:hAnsi="Arial" w:cs="Arial"/>
          <w:b/>
        </w:rPr>
        <w:t>:</w:t>
      </w:r>
      <w:r w:rsidR="003945CD" w:rsidRPr="00860071">
        <w:rPr>
          <w:rFonts w:ascii="Arial" w:hAnsi="Arial" w:cs="Arial"/>
        </w:rPr>
        <w:t xml:space="preserve"> Since</w:t>
      </w:r>
      <w:r w:rsidRPr="00860071">
        <w:rPr>
          <w:rFonts w:ascii="Arial" w:hAnsi="Arial" w:cs="Arial"/>
        </w:rPr>
        <w:t xml:space="preserve"> the business needs to buy significant quantities of corn, it can hedge against rising corn price by taking up a position in the corn futures market.</w:t>
      </w:r>
    </w:p>
    <w:p w14:paraId="5410F170" w14:textId="77777777" w:rsidR="00860071" w:rsidRPr="00860071" w:rsidRDefault="00860071" w:rsidP="00860071">
      <w:pPr>
        <w:jc w:val="both"/>
        <w:rPr>
          <w:rFonts w:ascii="Arial" w:hAnsi="Arial" w:cs="Arial"/>
        </w:rPr>
      </w:pPr>
      <w:r w:rsidRPr="00860071">
        <w:rPr>
          <w:rFonts w:ascii="Arial" w:hAnsi="Arial" w:cs="Arial"/>
        </w:rPr>
        <w:t xml:space="preserve">A long hedge can be used to secure a purchase price for a supply of corn that they will require some time in the future. </w:t>
      </w:r>
      <w:r w:rsidRPr="00872B2D">
        <w:rPr>
          <w:rFonts w:ascii="Arial" w:hAnsi="Arial" w:cs="Arial"/>
          <w:noProof/>
        </w:rPr>
        <w:t>To implement the long hedge</w:t>
      </w:r>
      <w:r w:rsidRPr="00860071">
        <w:rPr>
          <w:rFonts w:ascii="Arial" w:hAnsi="Arial" w:cs="Arial"/>
        </w:rPr>
        <w:t>, enough corn futures are to be purchased to cover the quantity of corn needed for the business.</w:t>
      </w:r>
    </w:p>
    <w:p w14:paraId="30DCD52B" w14:textId="37FB4311" w:rsidR="00860071" w:rsidRPr="00860071" w:rsidRDefault="00860071" w:rsidP="00860071">
      <w:pPr>
        <w:jc w:val="both"/>
        <w:rPr>
          <w:rFonts w:ascii="Arial" w:hAnsi="Arial" w:cs="Arial"/>
        </w:rPr>
      </w:pPr>
      <w:r w:rsidRPr="00860071">
        <w:rPr>
          <w:rFonts w:ascii="Arial" w:hAnsi="Arial" w:cs="Arial"/>
        </w:rPr>
        <w:t>The price of corn as of Dec 3rd, 2018 was 3.72 USD per bushel. The price as of Jan 20, 201</w:t>
      </w:r>
      <w:r w:rsidR="007A0BB3">
        <w:rPr>
          <w:rFonts w:ascii="Arial" w:hAnsi="Arial" w:cs="Arial"/>
        </w:rPr>
        <w:t>9</w:t>
      </w:r>
      <w:r w:rsidRPr="00860071">
        <w:rPr>
          <w:rFonts w:ascii="Arial" w:hAnsi="Arial" w:cs="Arial"/>
        </w:rPr>
        <w:t xml:space="preserve">, is 3.82 USD per bushel. A 60% corn portfolio implies a USD 300mn portfolio. A price rise of 10 cents would impact the </w:t>
      </w:r>
      <w:r w:rsidRPr="00872B2D">
        <w:rPr>
          <w:rFonts w:ascii="Arial" w:hAnsi="Arial" w:cs="Arial"/>
          <w:noProof/>
        </w:rPr>
        <w:t>portfolio</w:t>
      </w:r>
      <w:r w:rsidRPr="00860071">
        <w:rPr>
          <w:rFonts w:ascii="Arial" w:hAnsi="Arial" w:cs="Arial"/>
        </w:rPr>
        <w:t xml:space="preserve"> negatively by nearly USD 8mn. </w:t>
      </w:r>
      <w:r w:rsidRPr="00872B2D">
        <w:rPr>
          <w:rFonts w:ascii="Arial" w:hAnsi="Arial" w:cs="Arial"/>
          <w:noProof/>
        </w:rPr>
        <w:t>To protect against this price rise</w:t>
      </w:r>
      <w:r w:rsidRPr="00860071">
        <w:rPr>
          <w:rFonts w:ascii="Arial" w:hAnsi="Arial" w:cs="Arial"/>
        </w:rPr>
        <w:t xml:space="preserve">, an extended futures position can be </w:t>
      </w:r>
      <w:r w:rsidR="00D60281" w:rsidRPr="00860071">
        <w:rPr>
          <w:rFonts w:ascii="Arial" w:hAnsi="Arial" w:cs="Arial"/>
        </w:rPr>
        <w:t>entered</w:t>
      </w:r>
      <w:r w:rsidRPr="00860071">
        <w:rPr>
          <w:rFonts w:ascii="Arial" w:hAnsi="Arial" w:cs="Arial"/>
        </w:rPr>
        <w:t xml:space="preserve"> at 3.72 USD per bushel or lower if possible. Also, the corn </w:t>
      </w:r>
      <w:r w:rsidR="00D60281" w:rsidRPr="00860071">
        <w:rPr>
          <w:rFonts w:ascii="Arial" w:hAnsi="Arial" w:cs="Arial"/>
        </w:rPr>
        <w:t>must</w:t>
      </w:r>
      <w:r w:rsidRPr="00860071">
        <w:rPr>
          <w:rFonts w:ascii="Arial" w:hAnsi="Arial" w:cs="Arial"/>
        </w:rPr>
        <w:t xml:space="preserve"> </w:t>
      </w:r>
      <w:r w:rsidRPr="00872B2D">
        <w:rPr>
          <w:rFonts w:ascii="Arial" w:hAnsi="Arial" w:cs="Arial"/>
          <w:noProof/>
        </w:rPr>
        <w:t>be stored</w:t>
      </w:r>
      <w:r w:rsidRPr="00860071">
        <w:rPr>
          <w:rFonts w:ascii="Arial" w:hAnsi="Arial" w:cs="Arial"/>
        </w:rPr>
        <w:t xml:space="preserve"> for more than a month. </w:t>
      </w:r>
      <w:r w:rsidRPr="00872B2D">
        <w:rPr>
          <w:rFonts w:ascii="Arial" w:hAnsi="Arial" w:cs="Arial"/>
          <w:noProof/>
        </w:rPr>
        <w:t>This</w:t>
      </w:r>
      <w:r w:rsidRPr="00860071">
        <w:rPr>
          <w:rFonts w:ascii="Arial" w:hAnsi="Arial" w:cs="Arial"/>
        </w:rPr>
        <w:t xml:space="preserve"> would imply quality risks which have to identify and </w:t>
      </w:r>
      <w:r w:rsidR="00D60281" w:rsidRPr="00860071">
        <w:rPr>
          <w:rFonts w:ascii="Arial" w:hAnsi="Arial" w:cs="Arial"/>
        </w:rPr>
        <w:t>consider</w:t>
      </w:r>
      <w:r w:rsidRPr="00860071">
        <w:rPr>
          <w:rFonts w:ascii="Arial" w:hAnsi="Arial" w:cs="Arial"/>
        </w:rPr>
        <w:t xml:space="preserve"> the extended position would have to </w:t>
      </w:r>
      <w:r w:rsidRPr="00872B2D">
        <w:rPr>
          <w:rFonts w:ascii="Arial" w:hAnsi="Arial" w:cs="Arial"/>
          <w:noProof/>
        </w:rPr>
        <w:t xml:space="preserve">be </w:t>
      </w:r>
      <w:proofErr w:type="gramStart"/>
      <w:r w:rsidRPr="00872B2D">
        <w:rPr>
          <w:rFonts w:ascii="Arial" w:hAnsi="Arial" w:cs="Arial"/>
          <w:noProof/>
        </w:rPr>
        <w:t>entered</w:t>
      </w:r>
      <w:r w:rsidRPr="00860071">
        <w:rPr>
          <w:rFonts w:ascii="Arial" w:hAnsi="Arial" w:cs="Arial"/>
        </w:rPr>
        <w:t xml:space="preserve"> into</w:t>
      </w:r>
      <w:proofErr w:type="gramEnd"/>
      <w:r w:rsidRPr="00860071">
        <w:rPr>
          <w:rFonts w:ascii="Arial" w:hAnsi="Arial" w:cs="Arial"/>
        </w:rPr>
        <w:t xml:space="preserve"> at a price lesser than 3.72 USD per bushel to offset these risks. By entering into this agreement, USD 8mn or more can </w:t>
      </w:r>
      <w:r w:rsidRPr="00872B2D">
        <w:rPr>
          <w:rFonts w:ascii="Arial" w:hAnsi="Arial" w:cs="Arial"/>
          <w:noProof/>
        </w:rPr>
        <w:t>be saved</w:t>
      </w:r>
      <w:r w:rsidRPr="00860071">
        <w:rPr>
          <w:rFonts w:ascii="Arial" w:hAnsi="Arial" w:cs="Arial"/>
        </w:rPr>
        <w:t>.</w:t>
      </w:r>
    </w:p>
    <w:p w14:paraId="1DDEB3F3" w14:textId="1E58DB75" w:rsidR="00860071" w:rsidRPr="00860071" w:rsidRDefault="00860071" w:rsidP="00860071">
      <w:pPr>
        <w:jc w:val="both"/>
        <w:rPr>
          <w:rFonts w:ascii="Arial" w:hAnsi="Arial" w:cs="Arial"/>
        </w:rPr>
      </w:pPr>
      <w:r w:rsidRPr="00860071">
        <w:rPr>
          <w:rFonts w:ascii="Arial" w:hAnsi="Arial" w:cs="Arial"/>
        </w:rPr>
        <w:t>The price of wheat is 202 USD per bushel as of Dec 3rd, 2018. It rose to a cost of 204 USD per bushel as of Jan 20th, 201</w:t>
      </w:r>
      <w:r w:rsidR="00092734">
        <w:rPr>
          <w:rFonts w:ascii="Arial" w:hAnsi="Arial" w:cs="Arial"/>
        </w:rPr>
        <w:t>9</w:t>
      </w:r>
      <w:r w:rsidRPr="00860071">
        <w:rPr>
          <w:rFonts w:ascii="Arial" w:hAnsi="Arial" w:cs="Arial"/>
        </w:rPr>
        <w:t xml:space="preserve">. The ideal hedging strategy would again be an extended futures position. Still, the quality risk associated with wheat could be evaluated to </w:t>
      </w:r>
      <w:r w:rsidR="00D60281" w:rsidRPr="00860071">
        <w:rPr>
          <w:rFonts w:ascii="Arial" w:hAnsi="Arial" w:cs="Arial"/>
        </w:rPr>
        <w:t>enter</w:t>
      </w:r>
      <w:r w:rsidRPr="00860071">
        <w:rPr>
          <w:rFonts w:ascii="Arial" w:hAnsi="Arial" w:cs="Arial"/>
        </w:rPr>
        <w:t xml:space="preserve"> a strike price lesser than 202 USD per bushel. USD 1.98mn can </w:t>
      </w:r>
      <w:r w:rsidRPr="00872B2D">
        <w:rPr>
          <w:rFonts w:ascii="Arial" w:hAnsi="Arial" w:cs="Arial"/>
          <w:noProof/>
        </w:rPr>
        <w:t xml:space="preserve">be </w:t>
      </w:r>
      <w:r w:rsidRPr="00872B2D">
        <w:rPr>
          <w:rFonts w:ascii="Arial" w:hAnsi="Arial" w:cs="Arial"/>
          <w:noProof/>
        </w:rPr>
        <w:lastRenderedPageBreak/>
        <w:t>saved</w:t>
      </w:r>
      <w:r w:rsidRPr="00860071">
        <w:rPr>
          <w:rFonts w:ascii="Arial" w:hAnsi="Arial" w:cs="Arial"/>
        </w:rPr>
        <w:t xml:space="preserve"> by </w:t>
      </w:r>
      <w:r w:rsidRPr="00872B2D">
        <w:rPr>
          <w:rFonts w:ascii="Arial" w:hAnsi="Arial" w:cs="Arial"/>
          <w:noProof/>
        </w:rPr>
        <w:t>entering</w:t>
      </w:r>
      <w:r w:rsidRPr="00860071">
        <w:rPr>
          <w:rFonts w:ascii="Arial" w:hAnsi="Arial" w:cs="Arial"/>
        </w:rPr>
        <w:t xml:space="preserve"> at a strike price of 202 USD.</w:t>
      </w:r>
    </w:p>
    <w:p w14:paraId="168EF44C" w14:textId="03AA3551" w:rsidR="00E22B4E" w:rsidRPr="00E22B4E" w:rsidRDefault="00860071" w:rsidP="00860071">
      <w:pPr>
        <w:jc w:val="both"/>
        <w:rPr>
          <w:rFonts w:ascii="Arial" w:hAnsi="Arial" w:cs="Arial"/>
        </w:rPr>
      </w:pPr>
      <w:r w:rsidRPr="00860071">
        <w:rPr>
          <w:rFonts w:ascii="Arial" w:hAnsi="Arial" w:cs="Arial"/>
        </w:rPr>
        <w:t xml:space="preserve">Therefore, a total of approximately $10mn can </w:t>
      </w:r>
      <w:r w:rsidRPr="00872B2D">
        <w:rPr>
          <w:rFonts w:ascii="Arial" w:hAnsi="Arial" w:cs="Arial"/>
          <w:noProof/>
        </w:rPr>
        <w:t>be saved</w:t>
      </w:r>
      <w:r w:rsidRPr="00860071">
        <w:rPr>
          <w:rFonts w:ascii="Arial" w:hAnsi="Arial" w:cs="Arial"/>
        </w:rPr>
        <w:t xml:space="preserve"> by entering into a futures contract with a long hedge.</w:t>
      </w:r>
    </w:p>
    <w:p w14:paraId="2A61F6D4" w14:textId="77777777" w:rsidR="00E22B4E" w:rsidRPr="0089626B" w:rsidRDefault="00E22B4E" w:rsidP="008E2EA8">
      <w:pPr>
        <w:jc w:val="both"/>
        <w:rPr>
          <w:rFonts w:ascii="Arial" w:hAnsi="Arial" w:cs="Arial"/>
        </w:rPr>
      </w:pPr>
    </w:p>
    <w:p w14:paraId="0CC913AB" w14:textId="4F29D86E" w:rsidR="00D74EF2" w:rsidRPr="0089626B" w:rsidRDefault="0089626B" w:rsidP="008E2EA8">
      <w:pPr>
        <w:jc w:val="both"/>
        <w:rPr>
          <w:rFonts w:ascii="Arial" w:hAnsi="Arial" w:cs="Arial"/>
        </w:rPr>
      </w:pPr>
      <w:r w:rsidRPr="00D60281">
        <w:rPr>
          <w:rFonts w:ascii="Arial" w:hAnsi="Arial" w:cs="Arial"/>
          <w:b/>
        </w:rPr>
        <w:t xml:space="preserve">Answer </w:t>
      </w:r>
      <w:r w:rsidR="00EE6503" w:rsidRPr="00D60281">
        <w:rPr>
          <w:rFonts w:ascii="Arial" w:hAnsi="Arial" w:cs="Arial"/>
          <w:b/>
        </w:rPr>
        <w:t>3</w:t>
      </w:r>
      <w:r w:rsidR="00317B11">
        <w:rPr>
          <w:rFonts w:ascii="Arial" w:hAnsi="Arial" w:cs="Arial"/>
          <w:b/>
        </w:rPr>
        <w:t>:</w:t>
      </w:r>
      <w:r w:rsidR="00EE6503" w:rsidRPr="0089626B">
        <w:rPr>
          <w:rFonts w:ascii="Arial" w:hAnsi="Arial" w:cs="Arial"/>
        </w:rPr>
        <w:t xml:space="preserve"> </w:t>
      </w:r>
      <w:r w:rsidR="00D74EF2" w:rsidRPr="0089626B">
        <w:rPr>
          <w:rFonts w:ascii="Arial" w:hAnsi="Arial" w:cs="Arial"/>
        </w:rPr>
        <w:t xml:space="preserve">While UGG </w:t>
      </w:r>
      <w:r w:rsidR="00D74EF2" w:rsidRPr="00084F60">
        <w:rPr>
          <w:rFonts w:ascii="Arial" w:hAnsi="Arial" w:cs="Arial"/>
          <w:noProof/>
        </w:rPr>
        <w:t>w</w:t>
      </w:r>
      <w:r w:rsidR="00084F60">
        <w:rPr>
          <w:rFonts w:ascii="Arial" w:hAnsi="Arial" w:cs="Arial"/>
          <w:noProof/>
        </w:rPr>
        <w:t>as</w:t>
      </w:r>
      <w:r w:rsidR="00D74EF2" w:rsidRPr="0089626B">
        <w:rPr>
          <w:rFonts w:ascii="Arial" w:hAnsi="Arial" w:cs="Arial"/>
        </w:rPr>
        <w:t xml:space="preserve"> analyzing weather risks, they found that </w:t>
      </w:r>
      <w:r w:rsidR="002425CD">
        <w:rPr>
          <w:rFonts w:ascii="Arial" w:hAnsi="Arial" w:cs="Arial"/>
          <w:noProof/>
        </w:rPr>
        <w:t>four</w:t>
      </w:r>
      <w:r w:rsidR="00D74EF2" w:rsidRPr="0089626B">
        <w:rPr>
          <w:rFonts w:ascii="Arial" w:hAnsi="Arial" w:cs="Arial"/>
        </w:rPr>
        <w:t xml:space="preserve"> variables - precipitation in June &amp; July, and average temperatures in February &amp; September, explained 85% variation in crop yields. The crop yields, </w:t>
      </w:r>
      <w:r w:rsidR="00D74EF2" w:rsidRPr="002425CD">
        <w:rPr>
          <w:rFonts w:ascii="Arial" w:hAnsi="Arial" w:cs="Arial"/>
          <w:noProof/>
        </w:rPr>
        <w:t>i.e.</w:t>
      </w:r>
      <w:r w:rsidR="002425CD">
        <w:rPr>
          <w:rFonts w:ascii="Arial" w:hAnsi="Arial" w:cs="Arial"/>
          <w:noProof/>
        </w:rPr>
        <w:t>,</w:t>
      </w:r>
      <w:r w:rsidR="00D74EF2" w:rsidRPr="0089626B">
        <w:rPr>
          <w:rFonts w:ascii="Arial" w:hAnsi="Arial" w:cs="Arial"/>
        </w:rPr>
        <w:t xml:space="preserve"> the </w:t>
      </w:r>
      <w:r w:rsidR="00D74EF2" w:rsidRPr="00872B2D">
        <w:rPr>
          <w:rFonts w:ascii="Arial" w:hAnsi="Arial" w:cs="Arial"/>
          <w:noProof/>
        </w:rPr>
        <w:t>yields</w:t>
      </w:r>
      <w:r w:rsidR="00D74EF2" w:rsidRPr="0089626B">
        <w:rPr>
          <w:rFonts w:ascii="Arial" w:hAnsi="Arial" w:cs="Arial"/>
        </w:rPr>
        <w:t xml:space="preserve"> as a function of the </w:t>
      </w:r>
      <w:r w:rsidR="002425CD">
        <w:rPr>
          <w:rFonts w:ascii="Arial" w:hAnsi="Arial" w:cs="Arial"/>
          <w:noProof/>
        </w:rPr>
        <w:t>four</w:t>
      </w:r>
      <w:r w:rsidR="00D74EF2" w:rsidRPr="0089626B">
        <w:rPr>
          <w:rFonts w:ascii="Arial" w:hAnsi="Arial" w:cs="Arial"/>
        </w:rPr>
        <w:t xml:space="preserve"> variables, were then used to model the </w:t>
      </w:r>
      <w:r w:rsidR="00D74EF2" w:rsidRPr="00872B2D">
        <w:rPr>
          <w:rFonts w:ascii="Arial" w:hAnsi="Arial" w:cs="Arial"/>
          <w:noProof/>
        </w:rPr>
        <w:t>variation</w:t>
      </w:r>
      <w:r w:rsidR="00D74EF2" w:rsidRPr="0089626B">
        <w:rPr>
          <w:rFonts w:ascii="Arial" w:hAnsi="Arial" w:cs="Arial"/>
        </w:rPr>
        <w:t xml:space="preserve"> in earnings of UGG’s grain handling. </w:t>
      </w:r>
      <w:r w:rsidR="002425CD">
        <w:rPr>
          <w:rFonts w:ascii="Arial" w:hAnsi="Arial" w:cs="Arial"/>
        </w:rPr>
        <w:t>In t</w:t>
      </w:r>
      <w:r w:rsidR="00D74EF2" w:rsidRPr="0089626B">
        <w:rPr>
          <w:rFonts w:ascii="Arial" w:hAnsi="Arial" w:cs="Arial"/>
        </w:rPr>
        <w:t xml:space="preserve">he model which explains the </w:t>
      </w:r>
      <w:r w:rsidR="00D74EF2" w:rsidRPr="00872B2D">
        <w:rPr>
          <w:rFonts w:ascii="Arial" w:hAnsi="Arial" w:cs="Arial"/>
          <w:noProof/>
        </w:rPr>
        <w:t>earnings</w:t>
      </w:r>
      <w:r w:rsidR="002425CD">
        <w:rPr>
          <w:rFonts w:ascii="Arial" w:hAnsi="Arial" w:cs="Arial"/>
        </w:rPr>
        <w:t>,</w:t>
      </w:r>
      <w:r w:rsidR="00D74EF2" w:rsidRPr="0089626B">
        <w:rPr>
          <w:rFonts w:ascii="Arial" w:hAnsi="Arial" w:cs="Arial"/>
        </w:rPr>
        <w:t xml:space="preserve"> crop </w:t>
      </w:r>
      <w:r w:rsidR="00D74EF2" w:rsidRPr="002425CD">
        <w:rPr>
          <w:rFonts w:ascii="Arial" w:hAnsi="Arial" w:cs="Arial"/>
          <w:noProof/>
        </w:rPr>
        <w:t>yields</w:t>
      </w:r>
      <w:r w:rsidR="00D74EF2" w:rsidRPr="0089626B">
        <w:rPr>
          <w:rFonts w:ascii="Arial" w:hAnsi="Arial" w:cs="Arial"/>
        </w:rPr>
        <w:t xml:space="preserve"> </w:t>
      </w:r>
      <w:r w:rsidR="002425CD">
        <w:rPr>
          <w:rFonts w:ascii="Arial" w:hAnsi="Arial" w:cs="Arial"/>
        </w:rPr>
        <w:t>are</w:t>
      </w:r>
      <w:r w:rsidR="00D74EF2" w:rsidRPr="0089626B">
        <w:rPr>
          <w:rFonts w:ascii="Arial" w:hAnsi="Arial" w:cs="Arial"/>
        </w:rPr>
        <w:t xml:space="preserve"> </w:t>
      </w:r>
      <w:r w:rsidR="00D74EF2" w:rsidRPr="00872B2D">
        <w:rPr>
          <w:rFonts w:ascii="Arial" w:hAnsi="Arial" w:cs="Arial"/>
          <w:noProof/>
        </w:rPr>
        <w:t>explaining</w:t>
      </w:r>
      <w:r w:rsidR="00D74EF2" w:rsidRPr="0089626B">
        <w:rPr>
          <w:rFonts w:ascii="Arial" w:hAnsi="Arial" w:cs="Arial"/>
        </w:rPr>
        <w:t xml:space="preserve"> 94% of the </w:t>
      </w:r>
      <w:r w:rsidR="00D74EF2" w:rsidRPr="00872B2D">
        <w:rPr>
          <w:rFonts w:ascii="Arial" w:hAnsi="Arial" w:cs="Arial"/>
          <w:noProof/>
        </w:rPr>
        <w:t>variation</w:t>
      </w:r>
      <w:r w:rsidR="00D74EF2" w:rsidRPr="0089626B">
        <w:rPr>
          <w:rFonts w:ascii="Arial" w:hAnsi="Arial" w:cs="Arial"/>
        </w:rPr>
        <w:t xml:space="preserve"> in the </w:t>
      </w:r>
      <w:r w:rsidR="00D74EF2" w:rsidRPr="00872B2D">
        <w:rPr>
          <w:rFonts w:ascii="Arial" w:hAnsi="Arial" w:cs="Arial"/>
          <w:noProof/>
        </w:rPr>
        <w:t>earnings</w:t>
      </w:r>
      <w:r w:rsidR="00D74EF2" w:rsidRPr="0089626B">
        <w:rPr>
          <w:rFonts w:ascii="Arial" w:hAnsi="Arial" w:cs="Arial"/>
        </w:rPr>
        <w:t>.</w:t>
      </w:r>
    </w:p>
    <w:p w14:paraId="19044637" w14:textId="77777777" w:rsidR="00D74EF2" w:rsidRPr="0089626B" w:rsidRDefault="00D74EF2" w:rsidP="008E2EA8">
      <w:pPr>
        <w:pStyle w:val="ListParagraph"/>
        <w:numPr>
          <w:ilvl w:val="0"/>
          <w:numId w:val="1"/>
        </w:numPr>
        <w:ind w:left="360"/>
        <w:jc w:val="both"/>
        <w:rPr>
          <w:rFonts w:ascii="Arial" w:hAnsi="Arial" w:cs="Arial"/>
        </w:rPr>
      </w:pPr>
      <w:r w:rsidRPr="0089626B">
        <w:rPr>
          <w:rFonts w:ascii="Arial" w:hAnsi="Arial" w:cs="Arial"/>
        </w:rPr>
        <w:t>There are multiple pitfalls to a model that explains earnings</w:t>
      </w:r>
    </w:p>
    <w:p w14:paraId="54065D35" w14:textId="77777777" w:rsidR="00D74EF2" w:rsidRPr="0089626B" w:rsidRDefault="00D74EF2" w:rsidP="008E2EA8">
      <w:pPr>
        <w:pStyle w:val="ListParagraph"/>
        <w:numPr>
          <w:ilvl w:val="1"/>
          <w:numId w:val="1"/>
        </w:numPr>
        <w:ind w:left="720"/>
        <w:jc w:val="both"/>
        <w:rPr>
          <w:rFonts w:ascii="Arial" w:hAnsi="Arial" w:cs="Arial"/>
        </w:rPr>
      </w:pPr>
      <w:r w:rsidRPr="0089626B">
        <w:rPr>
          <w:rFonts w:ascii="Arial" w:hAnsi="Arial" w:cs="Arial"/>
        </w:rPr>
        <w:t>The uncertainty of earnings increases for each year in the forecast</w:t>
      </w:r>
    </w:p>
    <w:p w14:paraId="1332A10F" w14:textId="29EA26F3" w:rsidR="00D74EF2" w:rsidRPr="0089626B" w:rsidRDefault="00D74EF2" w:rsidP="008E2EA8">
      <w:pPr>
        <w:ind w:firstLine="720"/>
        <w:jc w:val="both"/>
        <w:rPr>
          <w:rFonts w:ascii="Arial" w:hAnsi="Arial" w:cs="Arial"/>
        </w:rPr>
      </w:pPr>
      <w:r w:rsidRPr="0089626B">
        <w:rPr>
          <w:rFonts w:ascii="Arial" w:hAnsi="Arial" w:cs="Arial"/>
        </w:rPr>
        <w:t xml:space="preserve">If we were to project </w:t>
      </w:r>
      <w:r w:rsidRPr="00872B2D">
        <w:rPr>
          <w:rFonts w:ascii="Arial" w:hAnsi="Arial" w:cs="Arial"/>
          <w:noProof/>
        </w:rPr>
        <w:t>earnings</w:t>
      </w:r>
      <w:r w:rsidRPr="0089626B">
        <w:rPr>
          <w:rFonts w:ascii="Arial" w:hAnsi="Arial" w:cs="Arial"/>
        </w:rPr>
        <w:t xml:space="preserve"> for future years, then for each outer year of earnings projection, we would build in more uncertainty in the model. </w:t>
      </w:r>
      <w:r w:rsidR="00E4528B">
        <w:rPr>
          <w:rStyle w:val="FootnoteReference"/>
          <w:rFonts w:ascii="Arial" w:hAnsi="Arial" w:cs="Arial"/>
        </w:rPr>
        <w:footnoteReference w:id="3"/>
      </w:r>
      <w:r w:rsidRPr="0089626B">
        <w:rPr>
          <w:rFonts w:ascii="Arial" w:hAnsi="Arial" w:cs="Arial"/>
        </w:rPr>
        <w:t xml:space="preserve">The further the </w:t>
      </w:r>
      <w:r w:rsidRPr="00872B2D">
        <w:rPr>
          <w:rFonts w:ascii="Arial" w:hAnsi="Arial" w:cs="Arial"/>
          <w:noProof/>
        </w:rPr>
        <w:t>projection</w:t>
      </w:r>
      <w:r w:rsidRPr="0089626B">
        <w:rPr>
          <w:rFonts w:ascii="Arial" w:hAnsi="Arial" w:cs="Arial"/>
        </w:rPr>
        <w:t xml:space="preserve">, the more uncertain the earnings. More so, as per the model, the </w:t>
      </w:r>
      <w:r w:rsidRPr="00872B2D">
        <w:rPr>
          <w:rFonts w:ascii="Arial" w:hAnsi="Arial" w:cs="Arial"/>
          <w:noProof/>
        </w:rPr>
        <w:t>earnings</w:t>
      </w:r>
      <w:r w:rsidRPr="0089626B">
        <w:rPr>
          <w:rFonts w:ascii="Arial" w:hAnsi="Arial" w:cs="Arial"/>
        </w:rPr>
        <w:t xml:space="preserve"> are based on yields, which are in turn based on precipitation and average temperatures. The projection of </w:t>
      </w:r>
      <w:r w:rsidRPr="00872B2D">
        <w:rPr>
          <w:rFonts w:ascii="Arial" w:hAnsi="Arial" w:cs="Arial"/>
          <w:noProof/>
        </w:rPr>
        <w:t>precipitation</w:t>
      </w:r>
      <w:r w:rsidRPr="0089626B">
        <w:rPr>
          <w:rFonts w:ascii="Arial" w:hAnsi="Arial" w:cs="Arial"/>
        </w:rPr>
        <w:t xml:space="preserve"> and average temperatures for a given year </w:t>
      </w:r>
      <w:r w:rsidRPr="00872B2D">
        <w:rPr>
          <w:rFonts w:ascii="Arial" w:hAnsi="Arial" w:cs="Arial"/>
          <w:noProof/>
        </w:rPr>
        <w:t>is based</w:t>
      </w:r>
      <w:r w:rsidRPr="0089626B">
        <w:rPr>
          <w:rFonts w:ascii="Arial" w:hAnsi="Arial" w:cs="Arial"/>
        </w:rPr>
        <w:t xml:space="preserve"> on previous years’ values. Hence the more futuristic the earnings projection, the less the values are </w:t>
      </w:r>
      <w:r w:rsidRPr="00F53806">
        <w:rPr>
          <w:rFonts w:ascii="Arial" w:hAnsi="Arial" w:cs="Arial"/>
          <w:noProof/>
        </w:rPr>
        <w:t>based</w:t>
      </w:r>
      <w:r w:rsidR="00F53806">
        <w:rPr>
          <w:rFonts w:ascii="Arial" w:hAnsi="Arial" w:cs="Arial"/>
          <w:noProof/>
        </w:rPr>
        <w:t xml:space="preserve"> on</w:t>
      </w:r>
      <w:r w:rsidRPr="0089626B">
        <w:rPr>
          <w:rFonts w:ascii="Arial" w:hAnsi="Arial" w:cs="Arial"/>
        </w:rPr>
        <w:t xml:space="preserve"> available data.</w:t>
      </w:r>
    </w:p>
    <w:p w14:paraId="18597805" w14:textId="6D073656" w:rsidR="00D74EF2" w:rsidRPr="0089626B" w:rsidRDefault="00F53806" w:rsidP="00721558">
      <w:pPr>
        <w:pStyle w:val="ListParagraph"/>
        <w:numPr>
          <w:ilvl w:val="1"/>
          <w:numId w:val="1"/>
        </w:numPr>
        <w:ind w:left="720"/>
        <w:jc w:val="both"/>
        <w:rPr>
          <w:rFonts w:ascii="Arial" w:hAnsi="Arial" w:cs="Arial"/>
        </w:rPr>
      </w:pPr>
      <w:r>
        <w:rPr>
          <w:rFonts w:ascii="Arial" w:hAnsi="Arial" w:cs="Arial"/>
          <w:noProof/>
        </w:rPr>
        <w:t>The s</w:t>
      </w:r>
      <w:r w:rsidR="00D74EF2" w:rsidRPr="00F53806">
        <w:rPr>
          <w:rFonts w:ascii="Arial" w:hAnsi="Arial" w:cs="Arial"/>
          <w:noProof/>
        </w:rPr>
        <w:t>ensitivity</w:t>
      </w:r>
      <w:r w:rsidR="00D74EF2" w:rsidRPr="0089626B">
        <w:rPr>
          <w:rFonts w:ascii="Arial" w:hAnsi="Arial" w:cs="Arial"/>
        </w:rPr>
        <w:t xml:space="preserve"> of growth rate assumption</w:t>
      </w:r>
    </w:p>
    <w:p w14:paraId="3B5E1ACE" w14:textId="3EE22215" w:rsidR="00D74EF2" w:rsidRDefault="00D74EF2" w:rsidP="008E2EA8">
      <w:pPr>
        <w:pStyle w:val="ListParagraph"/>
        <w:ind w:left="90" w:firstLine="360"/>
        <w:jc w:val="both"/>
        <w:rPr>
          <w:rFonts w:ascii="Arial" w:hAnsi="Arial" w:cs="Arial"/>
        </w:rPr>
      </w:pPr>
      <w:r w:rsidRPr="0089626B">
        <w:rPr>
          <w:rFonts w:ascii="Arial" w:hAnsi="Arial" w:cs="Arial"/>
        </w:rPr>
        <w:t xml:space="preserve">The projections of variables in the model </w:t>
      </w:r>
      <w:r w:rsidRPr="00872B2D">
        <w:rPr>
          <w:rFonts w:ascii="Arial" w:hAnsi="Arial" w:cs="Arial"/>
          <w:noProof/>
        </w:rPr>
        <w:t>are usually based</w:t>
      </w:r>
      <w:r w:rsidRPr="0089626B">
        <w:rPr>
          <w:rFonts w:ascii="Arial" w:hAnsi="Arial" w:cs="Arial"/>
        </w:rPr>
        <w:t xml:space="preserve"> on previous values +/- </w:t>
      </w:r>
      <w:r w:rsidR="00F53806">
        <w:rPr>
          <w:rFonts w:ascii="Arial" w:hAnsi="Arial" w:cs="Arial"/>
        </w:rPr>
        <w:t>the</w:t>
      </w:r>
      <w:r w:rsidRPr="0089626B">
        <w:rPr>
          <w:rFonts w:ascii="Arial" w:hAnsi="Arial" w:cs="Arial"/>
        </w:rPr>
        <w:t xml:space="preserve"> growth rate. The assumption on growth rate can impact the projections quite significantly. Moreover, assuming a single growth rate for all years could also lead to incorrect earnings projections.</w:t>
      </w:r>
    </w:p>
    <w:p w14:paraId="4CF2A0F9" w14:textId="77777777" w:rsidR="00B76C0D" w:rsidRPr="0089626B" w:rsidRDefault="00B76C0D" w:rsidP="008E2EA8">
      <w:pPr>
        <w:pStyle w:val="ListParagraph"/>
        <w:ind w:left="90" w:firstLine="360"/>
        <w:jc w:val="both"/>
        <w:rPr>
          <w:rFonts w:ascii="Arial" w:hAnsi="Arial" w:cs="Arial"/>
        </w:rPr>
      </w:pPr>
    </w:p>
    <w:p w14:paraId="24371326" w14:textId="2C87F80A" w:rsidR="00D74EF2" w:rsidRPr="0089626B" w:rsidRDefault="00D74EF2" w:rsidP="005C7C73">
      <w:pPr>
        <w:pStyle w:val="ListParagraph"/>
        <w:numPr>
          <w:ilvl w:val="0"/>
          <w:numId w:val="1"/>
        </w:numPr>
        <w:ind w:left="360"/>
        <w:jc w:val="both"/>
        <w:rPr>
          <w:rFonts w:ascii="Arial" w:hAnsi="Arial" w:cs="Arial"/>
        </w:rPr>
      </w:pPr>
      <w:r w:rsidRPr="0089626B">
        <w:rPr>
          <w:rFonts w:ascii="Arial" w:hAnsi="Arial" w:cs="Arial"/>
        </w:rPr>
        <w:t xml:space="preserve">Improving the model </w:t>
      </w:r>
      <w:r w:rsidRPr="00F53806">
        <w:rPr>
          <w:rFonts w:ascii="Arial" w:hAnsi="Arial" w:cs="Arial"/>
          <w:noProof/>
        </w:rPr>
        <w:t xml:space="preserve">to </w:t>
      </w:r>
      <w:r w:rsidR="00F53806">
        <w:rPr>
          <w:rFonts w:ascii="Arial" w:hAnsi="Arial" w:cs="Arial"/>
          <w:noProof/>
        </w:rPr>
        <w:t>explain earnings better</w:t>
      </w:r>
    </w:p>
    <w:p w14:paraId="2E51702E" w14:textId="769483CF" w:rsidR="00E55358" w:rsidRDefault="008C435B" w:rsidP="008C435B">
      <w:pPr>
        <w:pStyle w:val="ListParagraph"/>
        <w:ind w:left="0" w:firstLine="720"/>
        <w:jc w:val="both"/>
        <w:rPr>
          <w:rFonts w:ascii="Arial" w:hAnsi="Arial" w:cs="Arial"/>
        </w:rPr>
      </w:pPr>
      <w:r>
        <w:rPr>
          <w:rFonts w:ascii="Arial" w:hAnsi="Arial" w:cs="Arial"/>
        </w:rPr>
        <w:t xml:space="preserve">The earnings model can </w:t>
      </w:r>
      <w:r w:rsidRPr="00302B3E">
        <w:rPr>
          <w:rFonts w:ascii="Arial" w:hAnsi="Arial" w:cs="Arial"/>
          <w:noProof/>
        </w:rPr>
        <w:t xml:space="preserve">be </w:t>
      </w:r>
      <w:r w:rsidR="00847736" w:rsidRPr="00302B3E">
        <w:rPr>
          <w:rFonts w:ascii="Arial" w:hAnsi="Arial" w:cs="Arial"/>
          <w:noProof/>
        </w:rPr>
        <w:t>improved</w:t>
      </w:r>
      <w:r w:rsidR="00847736">
        <w:rPr>
          <w:rFonts w:ascii="Arial" w:hAnsi="Arial" w:cs="Arial"/>
        </w:rPr>
        <w:t xml:space="preserve"> </w:t>
      </w:r>
      <w:r>
        <w:rPr>
          <w:rFonts w:ascii="Arial" w:hAnsi="Arial" w:cs="Arial"/>
        </w:rPr>
        <w:t xml:space="preserve">by utilizing </w:t>
      </w:r>
      <w:r w:rsidR="00E93755">
        <w:rPr>
          <w:rFonts w:ascii="Arial" w:hAnsi="Arial" w:cs="Arial"/>
        </w:rPr>
        <w:t>the previous earnings themselve</w:t>
      </w:r>
      <w:r w:rsidR="009500FF">
        <w:rPr>
          <w:rFonts w:ascii="Arial" w:hAnsi="Arial" w:cs="Arial"/>
        </w:rPr>
        <w:t>s</w:t>
      </w:r>
      <w:r w:rsidR="00CE5B1B">
        <w:rPr>
          <w:rStyle w:val="FootnoteReference"/>
          <w:rFonts w:ascii="Arial" w:hAnsi="Arial" w:cs="Arial"/>
        </w:rPr>
        <w:footnoteReference w:id="4"/>
      </w:r>
      <w:r w:rsidR="009500FF">
        <w:rPr>
          <w:rFonts w:ascii="Arial" w:hAnsi="Arial" w:cs="Arial"/>
        </w:rPr>
        <w:t xml:space="preserve">. </w:t>
      </w:r>
      <w:r w:rsidR="009500FF" w:rsidRPr="00302B3E">
        <w:rPr>
          <w:rFonts w:ascii="Arial" w:hAnsi="Arial" w:cs="Arial"/>
          <w:noProof/>
        </w:rPr>
        <w:t>This</w:t>
      </w:r>
      <w:r w:rsidR="009500FF">
        <w:rPr>
          <w:rFonts w:ascii="Arial" w:hAnsi="Arial" w:cs="Arial"/>
        </w:rPr>
        <w:t xml:space="preserve"> m</w:t>
      </w:r>
      <w:r w:rsidR="006252B4">
        <w:rPr>
          <w:rFonts w:ascii="Arial" w:hAnsi="Arial" w:cs="Arial"/>
        </w:rPr>
        <w:t xml:space="preserve">eans the predicted earnings are a function of current earnings too. </w:t>
      </w:r>
      <w:r w:rsidR="006252B4" w:rsidRPr="00302B3E">
        <w:rPr>
          <w:rFonts w:ascii="Arial" w:hAnsi="Arial" w:cs="Arial"/>
          <w:noProof/>
        </w:rPr>
        <w:t>This</w:t>
      </w:r>
      <w:r w:rsidR="006252B4">
        <w:rPr>
          <w:rFonts w:ascii="Arial" w:hAnsi="Arial" w:cs="Arial"/>
        </w:rPr>
        <w:t xml:space="preserve"> would </w:t>
      </w:r>
      <w:r w:rsidR="00E55358">
        <w:rPr>
          <w:rFonts w:ascii="Arial" w:hAnsi="Arial" w:cs="Arial"/>
        </w:rPr>
        <w:t xml:space="preserve">bring the model closer to explain the variations in the </w:t>
      </w:r>
      <w:r w:rsidR="00E55358" w:rsidRPr="00302B3E">
        <w:rPr>
          <w:rFonts w:ascii="Arial" w:hAnsi="Arial" w:cs="Arial"/>
          <w:noProof/>
        </w:rPr>
        <w:t>earnings</w:t>
      </w:r>
      <w:r w:rsidR="00E55358">
        <w:rPr>
          <w:rFonts w:ascii="Arial" w:hAnsi="Arial" w:cs="Arial"/>
        </w:rPr>
        <w:t>.</w:t>
      </w:r>
    </w:p>
    <w:p w14:paraId="6FE66920" w14:textId="7860A2C6" w:rsidR="00D74EF2" w:rsidRPr="0089626B" w:rsidRDefault="00E93755" w:rsidP="008C435B">
      <w:pPr>
        <w:pStyle w:val="ListParagraph"/>
        <w:ind w:left="0" w:firstLine="720"/>
        <w:jc w:val="both"/>
        <w:rPr>
          <w:rFonts w:ascii="Arial" w:hAnsi="Arial" w:cs="Arial"/>
        </w:rPr>
      </w:pPr>
      <w:r>
        <w:rPr>
          <w:rFonts w:ascii="Arial" w:hAnsi="Arial" w:cs="Arial"/>
        </w:rPr>
        <w:t xml:space="preserve"> </w:t>
      </w:r>
    </w:p>
    <w:p w14:paraId="755BE609" w14:textId="77777777" w:rsidR="00D74EF2" w:rsidRPr="0089626B" w:rsidRDefault="00D74EF2" w:rsidP="005C7C73">
      <w:pPr>
        <w:pStyle w:val="ListParagraph"/>
        <w:numPr>
          <w:ilvl w:val="0"/>
          <w:numId w:val="1"/>
        </w:numPr>
        <w:ind w:left="360"/>
        <w:jc w:val="both"/>
        <w:rPr>
          <w:rFonts w:ascii="Arial" w:hAnsi="Arial" w:cs="Arial"/>
        </w:rPr>
      </w:pPr>
      <w:r w:rsidRPr="0089626B">
        <w:rPr>
          <w:rFonts w:ascii="Arial" w:hAnsi="Arial" w:cs="Arial"/>
        </w:rPr>
        <w:t>Conditions for an insurer to provide unlimited protection for a crop</w:t>
      </w:r>
    </w:p>
    <w:p w14:paraId="6194D962" w14:textId="77777777" w:rsidR="00D74EF2" w:rsidRPr="0089626B" w:rsidRDefault="00D74EF2" w:rsidP="008E2EA8">
      <w:pPr>
        <w:pStyle w:val="ListParagraph"/>
        <w:jc w:val="both"/>
        <w:rPr>
          <w:rFonts w:ascii="Arial" w:hAnsi="Arial" w:cs="Arial"/>
        </w:rPr>
      </w:pPr>
    </w:p>
    <w:p w14:paraId="26647705" w14:textId="5144121D" w:rsidR="00D74EF2" w:rsidRPr="0089626B" w:rsidRDefault="00873206" w:rsidP="008E2EA8">
      <w:pPr>
        <w:pStyle w:val="ListParagraph"/>
        <w:ind w:left="0" w:firstLine="720"/>
        <w:jc w:val="both"/>
        <w:rPr>
          <w:rFonts w:ascii="Arial" w:hAnsi="Arial" w:cs="Arial"/>
        </w:rPr>
      </w:pPr>
      <w:r>
        <w:rPr>
          <w:rStyle w:val="FootnoteReference"/>
          <w:rFonts w:ascii="Arial" w:hAnsi="Arial" w:cs="Arial"/>
        </w:rPr>
        <w:footnoteReference w:id="5"/>
      </w:r>
      <w:r w:rsidR="00D74EF2" w:rsidRPr="0089626B">
        <w:rPr>
          <w:rFonts w:ascii="Arial" w:hAnsi="Arial" w:cs="Arial"/>
        </w:rPr>
        <w:t xml:space="preserve">Crop insurance requires several conditions to be fulfilled, like results of some events outside the control of the insured party, farmers facing </w:t>
      </w:r>
      <w:r w:rsidR="00EA3F1E">
        <w:rPr>
          <w:rFonts w:ascii="Arial" w:hAnsi="Arial" w:cs="Arial"/>
        </w:rPr>
        <w:t xml:space="preserve">a </w:t>
      </w:r>
      <w:r w:rsidR="00D74EF2" w:rsidRPr="00EA3F1E">
        <w:rPr>
          <w:rFonts w:ascii="Arial" w:hAnsi="Arial" w:cs="Arial"/>
          <w:noProof/>
        </w:rPr>
        <w:t>pure</w:t>
      </w:r>
      <w:r w:rsidR="00D74EF2" w:rsidRPr="0089626B">
        <w:rPr>
          <w:rFonts w:ascii="Arial" w:hAnsi="Arial" w:cs="Arial"/>
        </w:rPr>
        <w:t xml:space="preserve"> risk – a risk not offset by </w:t>
      </w:r>
      <w:r w:rsidR="00D74EF2" w:rsidRPr="00EA3F1E">
        <w:rPr>
          <w:rFonts w:ascii="Arial" w:hAnsi="Arial" w:cs="Arial"/>
          <w:noProof/>
        </w:rPr>
        <w:t>hope</w:t>
      </w:r>
      <w:r w:rsidR="00D74EF2" w:rsidRPr="0089626B">
        <w:rPr>
          <w:rFonts w:ascii="Arial" w:hAnsi="Arial" w:cs="Arial"/>
        </w:rPr>
        <w:t xml:space="preserve"> of gain &amp; affordable premium for the party seeking coverage. To be able to provide unlimited protection, all these conditions would need to </w:t>
      </w:r>
      <w:r w:rsidR="00D74EF2" w:rsidRPr="00EA3F1E">
        <w:rPr>
          <w:rFonts w:ascii="Arial" w:hAnsi="Arial" w:cs="Arial"/>
          <w:noProof/>
        </w:rPr>
        <w:t>be fulfilled</w:t>
      </w:r>
      <w:r w:rsidR="00D74EF2" w:rsidRPr="0089626B">
        <w:rPr>
          <w:rFonts w:ascii="Arial" w:hAnsi="Arial" w:cs="Arial"/>
        </w:rPr>
        <w:t xml:space="preserve"> to the fullest levels. First, all risks </w:t>
      </w:r>
      <w:r w:rsidR="00DC266C" w:rsidRPr="0089626B">
        <w:rPr>
          <w:rFonts w:ascii="Arial" w:hAnsi="Arial" w:cs="Arial"/>
        </w:rPr>
        <w:t>must</w:t>
      </w:r>
      <w:r w:rsidR="00D74EF2" w:rsidRPr="0089626B">
        <w:rPr>
          <w:rFonts w:ascii="Arial" w:hAnsi="Arial" w:cs="Arial"/>
        </w:rPr>
        <w:t xml:space="preserve"> be accounted for, assuming negative results of all events outside control. Secondly, the </w:t>
      </w:r>
      <w:r w:rsidR="00D74EF2" w:rsidRPr="00EA3F1E">
        <w:rPr>
          <w:rFonts w:ascii="Arial" w:hAnsi="Arial" w:cs="Arial"/>
          <w:noProof/>
        </w:rPr>
        <w:t>risks</w:t>
      </w:r>
      <w:r w:rsidR="00D74EF2" w:rsidRPr="0089626B">
        <w:rPr>
          <w:rFonts w:ascii="Arial" w:hAnsi="Arial" w:cs="Arial"/>
        </w:rPr>
        <w:t xml:space="preserve"> to the crop should not be speculative, thus not making profits from those risks. Thirdly, the premium should be affordable, which typically happens through government subsidies. If these conditions </w:t>
      </w:r>
      <w:r w:rsidR="00D74EF2" w:rsidRPr="00EA3F1E">
        <w:rPr>
          <w:rFonts w:ascii="Arial" w:hAnsi="Arial" w:cs="Arial"/>
          <w:noProof/>
        </w:rPr>
        <w:t>are fulfilled</w:t>
      </w:r>
      <w:r w:rsidR="00D74EF2" w:rsidRPr="0089626B">
        <w:rPr>
          <w:rFonts w:ascii="Arial" w:hAnsi="Arial" w:cs="Arial"/>
        </w:rPr>
        <w:t>, an insurer could provide unlimited protection for a crop.</w:t>
      </w:r>
    </w:p>
    <w:sectPr w:rsidR="00D74EF2" w:rsidRPr="0089626B" w:rsidSect="001355C2">
      <w:footerReference w:type="default" r:id="rId11"/>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4E5DB" w14:textId="77777777" w:rsidR="00A1459C" w:rsidRDefault="00A1459C" w:rsidP="00394CF8">
      <w:pPr>
        <w:spacing w:after="0" w:line="240" w:lineRule="auto"/>
      </w:pPr>
      <w:r>
        <w:separator/>
      </w:r>
    </w:p>
  </w:endnote>
  <w:endnote w:type="continuationSeparator" w:id="0">
    <w:p w14:paraId="5427F61E" w14:textId="77777777" w:rsidR="00A1459C" w:rsidRDefault="00A1459C" w:rsidP="0039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B7CC7" w14:textId="77777777" w:rsidR="00394CF8" w:rsidRDefault="00394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855C6" w14:textId="77777777" w:rsidR="00A1459C" w:rsidRDefault="00A1459C" w:rsidP="00394CF8">
      <w:pPr>
        <w:spacing w:after="0" w:line="240" w:lineRule="auto"/>
      </w:pPr>
      <w:r>
        <w:separator/>
      </w:r>
    </w:p>
  </w:footnote>
  <w:footnote w:type="continuationSeparator" w:id="0">
    <w:p w14:paraId="73B56654" w14:textId="77777777" w:rsidR="00A1459C" w:rsidRDefault="00A1459C" w:rsidP="00394CF8">
      <w:pPr>
        <w:spacing w:after="0" w:line="240" w:lineRule="auto"/>
      </w:pPr>
      <w:r>
        <w:continuationSeparator/>
      </w:r>
    </w:p>
  </w:footnote>
  <w:footnote w:id="1">
    <w:p w14:paraId="715297C4" w14:textId="26DEAA7B" w:rsidR="00571F1C" w:rsidRPr="000F579B" w:rsidRDefault="00571F1C">
      <w:pPr>
        <w:pStyle w:val="FootnoteText"/>
        <w:rPr>
          <w:rFonts w:ascii="Arial" w:hAnsi="Arial" w:cs="Arial"/>
        </w:rPr>
      </w:pPr>
      <w:r>
        <w:rPr>
          <w:rStyle w:val="FootnoteReference"/>
        </w:rPr>
        <w:footnoteRef/>
      </w:r>
      <w:r>
        <w:t xml:space="preserve"> </w:t>
      </w:r>
      <w:r w:rsidR="00B466D1" w:rsidRPr="000F579B">
        <w:rPr>
          <w:rFonts w:ascii="Arial" w:hAnsi="Arial" w:cs="Arial"/>
        </w:rPr>
        <w:t>Takeover Defenses Work. Is That Such a Bad Thing? Mark Gordon</w:t>
      </w:r>
    </w:p>
  </w:footnote>
  <w:footnote w:id="2">
    <w:p w14:paraId="0D18635F" w14:textId="1EEDE9E4" w:rsidR="00B466D1" w:rsidRDefault="00B466D1">
      <w:pPr>
        <w:pStyle w:val="FootnoteText"/>
      </w:pPr>
      <w:r w:rsidRPr="000F579B">
        <w:rPr>
          <w:rStyle w:val="FootnoteReference"/>
          <w:rFonts w:ascii="Arial" w:hAnsi="Arial" w:cs="Arial"/>
        </w:rPr>
        <w:footnoteRef/>
      </w:r>
      <w:r w:rsidRPr="000F579B">
        <w:rPr>
          <w:rFonts w:ascii="Arial" w:hAnsi="Arial" w:cs="Arial"/>
        </w:rPr>
        <w:t xml:space="preserve"> Pearce, John &amp; Jr. Robinson, Richard. (2004). Hostile takeover defenses that maximize</w:t>
      </w:r>
      <w:r w:rsidR="000F579B">
        <w:rPr>
          <w:rFonts w:ascii="Arial" w:hAnsi="Arial" w:cs="Arial"/>
        </w:rPr>
        <w:t xml:space="preserve"> </w:t>
      </w:r>
      <w:r w:rsidRPr="000F579B">
        <w:rPr>
          <w:rFonts w:ascii="Arial" w:hAnsi="Arial" w:cs="Arial"/>
        </w:rPr>
        <w:t>shareholder wealth. Business Horizons. 47. 15-24. 10.1016/j.bushor.2004.07.004.</w:t>
      </w:r>
    </w:p>
  </w:footnote>
  <w:footnote w:id="3">
    <w:p w14:paraId="3EE8207F" w14:textId="0E9E5530" w:rsidR="00E4528B" w:rsidRPr="000F579B" w:rsidRDefault="00E4528B">
      <w:pPr>
        <w:pStyle w:val="FootnoteText"/>
        <w:rPr>
          <w:rFonts w:ascii="Arial" w:hAnsi="Arial" w:cs="Arial"/>
        </w:rPr>
      </w:pPr>
      <w:r w:rsidRPr="000F579B">
        <w:rPr>
          <w:rStyle w:val="FootnoteReference"/>
          <w:rFonts w:ascii="Arial" w:hAnsi="Arial" w:cs="Arial"/>
        </w:rPr>
        <w:footnoteRef/>
      </w:r>
      <w:r w:rsidRPr="000F579B">
        <w:rPr>
          <w:rFonts w:ascii="Arial" w:hAnsi="Arial" w:cs="Arial"/>
        </w:rPr>
        <w:t xml:space="preserve"> </w:t>
      </w:r>
      <w:r w:rsidR="00F714FA" w:rsidRPr="000F579B">
        <w:rPr>
          <w:rFonts w:ascii="Arial" w:hAnsi="Arial" w:cs="Arial"/>
        </w:rPr>
        <w:t xml:space="preserve">Top 3 Pitfalls </w:t>
      </w:r>
      <w:r w:rsidR="00DC266C" w:rsidRPr="000F579B">
        <w:rPr>
          <w:rFonts w:ascii="Arial" w:hAnsi="Arial" w:cs="Arial"/>
        </w:rPr>
        <w:t>o</w:t>
      </w:r>
      <w:r w:rsidR="00F714FA" w:rsidRPr="000F579B">
        <w:rPr>
          <w:rFonts w:ascii="Arial" w:hAnsi="Arial" w:cs="Arial"/>
        </w:rPr>
        <w:t>f Discounted Cash Flow Analysis (www.investopedia.com)</w:t>
      </w:r>
    </w:p>
  </w:footnote>
  <w:footnote w:id="4">
    <w:p w14:paraId="3A918F11" w14:textId="67F51E0C" w:rsidR="00CE5B1B" w:rsidRDefault="00CE5B1B">
      <w:pPr>
        <w:pStyle w:val="FootnoteText"/>
      </w:pPr>
      <w:r>
        <w:rPr>
          <w:rStyle w:val="FootnoteReference"/>
        </w:rPr>
        <w:footnoteRef/>
      </w:r>
      <w:r>
        <w:t xml:space="preserve"> </w:t>
      </w:r>
      <w:r w:rsidRPr="00CE5B1B">
        <w:rPr>
          <w:rFonts w:ascii="Arial" w:hAnsi="Arial" w:cs="Arial"/>
        </w:rPr>
        <w:t xml:space="preserve">An Improved Earnings Forecasting Model, Richard D.F. Harris &amp; </w:t>
      </w:r>
      <w:proofErr w:type="spellStart"/>
      <w:r w:rsidRPr="00CE5B1B">
        <w:rPr>
          <w:rFonts w:ascii="Arial" w:hAnsi="Arial" w:cs="Arial"/>
        </w:rPr>
        <w:t>Pengguo</w:t>
      </w:r>
      <w:proofErr w:type="spellEnd"/>
      <w:r w:rsidRPr="00CE5B1B">
        <w:rPr>
          <w:rFonts w:ascii="Arial" w:hAnsi="Arial" w:cs="Arial"/>
        </w:rPr>
        <w:t xml:space="preserve"> Wang (April 2013)</w:t>
      </w:r>
    </w:p>
  </w:footnote>
  <w:footnote w:id="5">
    <w:p w14:paraId="7FD78BAE" w14:textId="258A4806" w:rsidR="00873206" w:rsidRPr="000F579B" w:rsidRDefault="00873206">
      <w:pPr>
        <w:pStyle w:val="FootnoteText"/>
        <w:rPr>
          <w:rFonts w:ascii="Arial" w:hAnsi="Arial" w:cs="Arial"/>
        </w:rPr>
      </w:pPr>
      <w:r>
        <w:rPr>
          <w:rStyle w:val="FootnoteReference"/>
        </w:rPr>
        <w:footnoteRef/>
      </w:r>
      <w:r>
        <w:t xml:space="preserve"> </w:t>
      </w:r>
      <w:r w:rsidRPr="000F579B">
        <w:rPr>
          <w:rFonts w:ascii="Arial" w:hAnsi="Arial" w:cs="Arial"/>
        </w:rPr>
        <w:t>The Strange Economics of Crop Insurance (</w:t>
      </w:r>
      <w:r w:rsidR="000F579B" w:rsidRPr="000F579B">
        <w:rPr>
          <w:rFonts w:ascii="Arial" w:hAnsi="Arial" w:cs="Arial"/>
        </w:rPr>
        <w:t>www.niskanencenter.org/blog/the-strange-economics-of-crop-insurance/)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E45FB"/>
    <w:multiLevelType w:val="hybridMultilevel"/>
    <w:tmpl w:val="D276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02D6C"/>
    <w:multiLevelType w:val="hybridMultilevel"/>
    <w:tmpl w:val="7122C6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B570F"/>
    <w:multiLevelType w:val="hybridMultilevel"/>
    <w:tmpl w:val="BF465872"/>
    <w:lvl w:ilvl="0" w:tplc="CB5AB1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13BC7"/>
    <w:multiLevelType w:val="hybridMultilevel"/>
    <w:tmpl w:val="567078DE"/>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67322"/>
    <w:multiLevelType w:val="hybridMultilevel"/>
    <w:tmpl w:val="415A87A0"/>
    <w:lvl w:ilvl="0" w:tplc="D2268BB0">
      <w:start w:val="1"/>
      <w:numFmt w:val="lowerLetter"/>
      <w:lvlText w:val="%1)"/>
      <w:lvlJc w:val="left"/>
      <w:pPr>
        <w:ind w:left="798" w:hanging="43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60139"/>
    <w:multiLevelType w:val="hybridMultilevel"/>
    <w:tmpl w:val="102A9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77EB4"/>
    <w:multiLevelType w:val="hybridMultilevel"/>
    <w:tmpl w:val="5B3C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xN7GwtDQxMTUwNjFU0lEKTi0uzszPAykwrQUAjT4IJCwAAAA="/>
  </w:docVars>
  <w:rsids>
    <w:rsidRoot w:val="006B7088"/>
    <w:rsid w:val="00046047"/>
    <w:rsid w:val="00084F60"/>
    <w:rsid w:val="00092734"/>
    <w:rsid w:val="000B1E01"/>
    <w:rsid w:val="000B2258"/>
    <w:rsid w:val="000F579B"/>
    <w:rsid w:val="001206A5"/>
    <w:rsid w:val="001355C2"/>
    <w:rsid w:val="00155514"/>
    <w:rsid w:val="0017605B"/>
    <w:rsid w:val="001D5567"/>
    <w:rsid w:val="0023274E"/>
    <w:rsid w:val="0023754A"/>
    <w:rsid w:val="002425CD"/>
    <w:rsid w:val="00264FFF"/>
    <w:rsid w:val="00302B3E"/>
    <w:rsid w:val="00317B11"/>
    <w:rsid w:val="00394269"/>
    <w:rsid w:val="003945CD"/>
    <w:rsid w:val="00394CF8"/>
    <w:rsid w:val="00396C2F"/>
    <w:rsid w:val="003B77BC"/>
    <w:rsid w:val="003C1E3F"/>
    <w:rsid w:val="004278F7"/>
    <w:rsid w:val="0046296F"/>
    <w:rsid w:val="00465132"/>
    <w:rsid w:val="004A00AE"/>
    <w:rsid w:val="004F6277"/>
    <w:rsid w:val="00516D18"/>
    <w:rsid w:val="00520903"/>
    <w:rsid w:val="0054675B"/>
    <w:rsid w:val="00567657"/>
    <w:rsid w:val="00571F1C"/>
    <w:rsid w:val="005C7C73"/>
    <w:rsid w:val="005E7FC3"/>
    <w:rsid w:val="005F23D4"/>
    <w:rsid w:val="006252B4"/>
    <w:rsid w:val="0064586B"/>
    <w:rsid w:val="006569A1"/>
    <w:rsid w:val="00687DB8"/>
    <w:rsid w:val="00692125"/>
    <w:rsid w:val="006B7088"/>
    <w:rsid w:val="006C0AC1"/>
    <w:rsid w:val="006F2AD3"/>
    <w:rsid w:val="00721558"/>
    <w:rsid w:val="007702F0"/>
    <w:rsid w:val="007A0BB3"/>
    <w:rsid w:val="007C05D3"/>
    <w:rsid w:val="007E401F"/>
    <w:rsid w:val="007F34EA"/>
    <w:rsid w:val="00821434"/>
    <w:rsid w:val="00845D00"/>
    <w:rsid w:val="00847736"/>
    <w:rsid w:val="00860071"/>
    <w:rsid w:val="00872B2D"/>
    <w:rsid w:val="00873206"/>
    <w:rsid w:val="0089626B"/>
    <w:rsid w:val="008C435B"/>
    <w:rsid w:val="008C79AC"/>
    <w:rsid w:val="008D55FB"/>
    <w:rsid w:val="008E2EA8"/>
    <w:rsid w:val="009500FF"/>
    <w:rsid w:val="00963501"/>
    <w:rsid w:val="00A12A57"/>
    <w:rsid w:val="00A1459C"/>
    <w:rsid w:val="00A6651F"/>
    <w:rsid w:val="00A92D18"/>
    <w:rsid w:val="00AA4E2A"/>
    <w:rsid w:val="00AB733D"/>
    <w:rsid w:val="00AD70D9"/>
    <w:rsid w:val="00B01BBF"/>
    <w:rsid w:val="00B466D1"/>
    <w:rsid w:val="00B7638F"/>
    <w:rsid w:val="00B76C0D"/>
    <w:rsid w:val="00C44289"/>
    <w:rsid w:val="00C473DC"/>
    <w:rsid w:val="00C67519"/>
    <w:rsid w:val="00CE5B1B"/>
    <w:rsid w:val="00CF61D6"/>
    <w:rsid w:val="00D60281"/>
    <w:rsid w:val="00D74EF2"/>
    <w:rsid w:val="00DC266C"/>
    <w:rsid w:val="00DF2D85"/>
    <w:rsid w:val="00E22B4E"/>
    <w:rsid w:val="00E34147"/>
    <w:rsid w:val="00E42CEA"/>
    <w:rsid w:val="00E4528B"/>
    <w:rsid w:val="00E5209E"/>
    <w:rsid w:val="00E55358"/>
    <w:rsid w:val="00E769B3"/>
    <w:rsid w:val="00E83060"/>
    <w:rsid w:val="00E93755"/>
    <w:rsid w:val="00EA3F1E"/>
    <w:rsid w:val="00EE6503"/>
    <w:rsid w:val="00F05EA9"/>
    <w:rsid w:val="00F14B9F"/>
    <w:rsid w:val="00F41C15"/>
    <w:rsid w:val="00F53806"/>
    <w:rsid w:val="00F714FA"/>
    <w:rsid w:val="00F95A9C"/>
    <w:rsid w:val="00FC1027"/>
    <w:rsid w:val="00FD079B"/>
    <w:rsid w:val="00FF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1983"/>
  <w15:chartTrackingRefBased/>
  <w15:docId w15:val="{AC209E7E-4D00-49FD-8BA9-94207B0B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EF2"/>
    <w:pPr>
      <w:ind w:left="720"/>
      <w:contextualSpacing/>
    </w:pPr>
  </w:style>
  <w:style w:type="paragraph" w:styleId="NoSpacing">
    <w:name w:val="No Spacing"/>
    <w:link w:val="NoSpacingChar"/>
    <w:uiPriority w:val="1"/>
    <w:qFormat/>
    <w:rsid w:val="001355C2"/>
    <w:pPr>
      <w:spacing w:after="0" w:line="240" w:lineRule="auto"/>
    </w:pPr>
    <w:rPr>
      <w:rFonts w:eastAsiaTheme="minorEastAsia"/>
    </w:rPr>
  </w:style>
  <w:style w:type="character" w:customStyle="1" w:styleId="NoSpacingChar">
    <w:name w:val="No Spacing Char"/>
    <w:basedOn w:val="DefaultParagraphFont"/>
    <w:link w:val="NoSpacing"/>
    <w:uiPriority w:val="1"/>
    <w:rsid w:val="001355C2"/>
    <w:rPr>
      <w:rFonts w:eastAsiaTheme="minorEastAsia"/>
    </w:rPr>
  </w:style>
  <w:style w:type="paragraph" w:styleId="Header">
    <w:name w:val="header"/>
    <w:basedOn w:val="Normal"/>
    <w:link w:val="HeaderChar"/>
    <w:uiPriority w:val="99"/>
    <w:unhideWhenUsed/>
    <w:rsid w:val="00394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F8"/>
  </w:style>
  <w:style w:type="paragraph" w:styleId="Footer">
    <w:name w:val="footer"/>
    <w:basedOn w:val="Normal"/>
    <w:link w:val="FooterChar"/>
    <w:uiPriority w:val="99"/>
    <w:unhideWhenUsed/>
    <w:rsid w:val="00394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CF8"/>
  </w:style>
  <w:style w:type="paragraph" w:styleId="FootnoteText">
    <w:name w:val="footnote text"/>
    <w:basedOn w:val="Normal"/>
    <w:link w:val="FootnoteTextChar"/>
    <w:uiPriority w:val="99"/>
    <w:semiHidden/>
    <w:unhideWhenUsed/>
    <w:rsid w:val="00571F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F1C"/>
    <w:rPr>
      <w:sz w:val="20"/>
      <w:szCs w:val="20"/>
    </w:rPr>
  </w:style>
  <w:style w:type="character" w:styleId="FootnoteReference">
    <w:name w:val="footnote reference"/>
    <w:basedOn w:val="DefaultParagraphFont"/>
    <w:uiPriority w:val="99"/>
    <w:semiHidden/>
    <w:unhideWhenUsed/>
    <w:rsid w:val="00571F1C"/>
    <w:rPr>
      <w:vertAlign w:val="superscript"/>
    </w:rPr>
  </w:style>
  <w:style w:type="paragraph" w:customStyle="1" w:styleId="xgmail-msolistparagraph">
    <w:name w:val="xgmail-msolistparagraph"/>
    <w:basedOn w:val="Normal"/>
    <w:rsid w:val="00E22B4E"/>
    <w:pPr>
      <w:spacing w:after="0" w:line="240" w:lineRule="auto"/>
    </w:pPr>
    <w:rPr>
      <w:rFonts w:ascii="Calibri" w:hAnsi="Calibri" w:cs="Calibri"/>
    </w:rPr>
  </w:style>
  <w:style w:type="paragraph" w:styleId="Caption">
    <w:name w:val="caption"/>
    <w:basedOn w:val="Normal"/>
    <w:next w:val="Normal"/>
    <w:uiPriority w:val="35"/>
    <w:unhideWhenUsed/>
    <w:qFormat/>
    <w:rsid w:val="007F34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3693">
      <w:bodyDiv w:val="1"/>
      <w:marLeft w:val="0"/>
      <w:marRight w:val="0"/>
      <w:marTop w:val="0"/>
      <w:marBottom w:val="0"/>
      <w:divBdr>
        <w:top w:val="none" w:sz="0" w:space="0" w:color="auto"/>
        <w:left w:val="none" w:sz="0" w:space="0" w:color="auto"/>
        <w:bottom w:val="none" w:sz="0" w:space="0" w:color="auto"/>
        <w:right w:val="none" w:sz="0" w:space="0" w:color="auto"/>
      </w:divBdr>
    </w:div>
    <w:div w:id="966854085">
      <w:bodyDiv w:val="1"/>
      <w:marLeft w:val="0"/>
      <w:marRight w:val="0"/>
      <w:marTop w:val="0"/>
      <w:marBottom w:val="0"/>
      <w:divBdr>
        <w:top w:val="none" w:sz="0" w:space="0" w:color="auto"/>
        <w:left w:val="none" w:sz="0" w:space="0" w:color="auto"/>
        <w:bottom w:val="none" w:sz="0" w:space="0" w:color="auto"/>
        <w:right w:val="none" w:sz="0" w:space="0" w:color="auto"/>
      </w:divBdr>
    </w:div>
    <w:div w:id="175474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cid:image001.jpg@01D4B0B5.2F566FB0"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92FE0-24FB-4E58-A566-D41ED267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Executive Summary</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Team: The Good Karma</dc:creator>
  <cp:keywords/>
  <dc:description/>
  <cp:lastModifiedBy>Amandee Jiddewar</cp:lastModifiedBy>
  <cp:revision>9</cp:revision>
  <dcterms:created xsi:type="dcterms:W3CDTF">2019-01-20T20:14:00Z</dcterms:created>
  <dcterms:modified xsi:type="dcterms:W3CDTF">2019-01-20T21:09:00Z</dcterms:modified>
  <cp:category>Abhishek Saha, Aman Jiddewar, Pooja Adiseshu &amp; Prajwal Kuchangi</cp:category>
</cp:coreProperties>
</file>