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0" w:after="60"/>
      </w:pPr>
      <w:r>
        <w:rPr>
          <w:rFonts w:ascii="Georgia" w:cs="Georgia" w:eastAsia="Georgia" w:hAnsi="Georgia"/>
          <w:b/>
          <w:bCs/>
          <w:color w:val="2563A8"/>
          <w:sz w:val="72"/>
          <w:szCs w:val="72"/>
        </w:rPr>
        <w:t xml:space="preserve">MyResAssist</w:t>
      </w:r>
    </w:p>
    <w:p>
      <w:pPr>
        <w:spacing w:before="0" w:after="40"/>
      </w:pPr>
      <w:r>
        <w:rPr>
          <w:rFonts w:ascii="Georgia" w:cs="Georgia" w:eastAsia="Georgia" w:hAnsi="Georgia"/>
          <w:i/>
          <w:iCs/>
          <w:color w:val="3D3530"/>
          <w:sz w:val="36"/>
          <w:szCs w:val="36"/>
        </w:rPr>
        <w:t xml:space="preserve">Research Intelligence</w:t>
      </w:r>
    </w:p>
    <w:p>
      <w:pPr>
        <w:pBdr>
          <w:bottom w:val="single" w:color="2563A8" w:sz="8" w:space="6"/>
        </w:pBdr>
        <w:spacing w:before="0" w:after="200"/>
      </w:pPr>
      <w:r>
        <w:rPr>
          <w:rFonts w:ascii="Arial" w:cs="Arial" w:eastAsia="Arial" w:hAnsi="Arial"/>
          <w:color w:val="8C7B6E"/>
          <w:sz w:val="20"/>
          <w:szCs w:val="20"/>
        </w:rPr>
        <w:t xml:space="preserve">User Guide &amp; Feature Reference  —  v2.0</w:t>
      </w:r>
    </w:p>
    <w:p>
      <w:pPr>
        <w:spacing w:before="80" w:after="0"/>
      </w:pPr>
      <w:r>
        <w:t xml:space="preserve"/>
      </w:r>
    </w:p>
    <w:p>
      <w:pPr>
        <w:spacing w:before="40" w:after="100" w:line="276" w:lineRule="auto"/>
      </w:pPr>
      <w:r>
        <w:rPr>
          <w:rFonts w:ascii="Arial" w:cs="Arial" w:eastAsia="Arial" w:hAnsi="Arial"/>
          <w:color w:val="3D3530"/>
          <w:sz w:val="20"/>
          <w:szCs w:val="20"/>
        </w:rPr>
        <w:t xml:space="preserve">MyResAssist is a single-file research intelligence application that runs entirely in your browser. It helps you research topics systematically — accumulating claims, tracking confidence levels, surfacing contradictions, and building a persistent knowledge base that deepens with every conversation. There is nothing to install and no account required beyond an API key for your chosen AI provider.</w:t>
      </w:r>
    </w:p>
    <w:p>
      <w:pPr>
        <w:spacing w:before="40" w:after="0"/>
      </w:pPr>
      <w:r>
        <w:t xml:space="preserve"/>
      </w:r>
    </w:p>
    <w:p>
      <w:pPr>
        <w:pStyle w:val="Heading2"/>
        <w:pBdr>
          <w:bottom w:val="single" w:color="2563A8" w:sz="4" w:space="4"/>
        </w:pBdr>
        <w:spacing w:before="280" w:after="80"/>
      </w:pPr>
      <w:r>
        <w:rPr>
          <w:rFonts w:ascii="Georgia" w:cs="Georgia" w:eastAsia="Georgia" w:hAnsi="Georgia"/>
          <w:b/>
          <w:bCs/>
          <w:color w:val="2563A8"/>
          <w:sz w:val="26"/>
          <w:szCs w:val="26"/>
        </w:rPr>
        <w:t xml:space="preserve">Getting Started</w:t>
      </w:r>
    </w:p>
    <w:p>
      <w:pPr>
        <w:pStyle w:val="Heading3"/>
        <w:spacing w:before="200" w:after="60"/>
      </w:pPr>
      <w:r>
        <w:rPr>
          <w:rFonts w:ascii="Arial" w:cs="Arial" w:eastAsia="Arial" w:hAnsi="Arial"/>
          <w:b/>
          <w:bCs/>
          <w:color w:val="1A1612"/>
          <w:sz w:val="22"/>
          <w:szCs w:val="22"/>
        </w:rPr>
        <w:t xml:space="preserve">Prerequisites</w:t>
      </w:r>
    </w:p>
    <w:p>
      <w:pPr>
        <w:pStyle w:val="ListParagraph"/>
        <w:numPr>
          <w:ilvl w:val="0"/>
          <w:numId w:val="2"/>
        </w:numPr>
        <w:spacing w:before="30" w:after="60"/>
      </w:pPr>
      <w:r>
        <w:rPr>
          <w:rFonts w:ascii="Arial" w:cs="Arial" w:eastAsia="Arial" w:hAnsi="Arial"/>
          <w:color w:val="3D3530"/>
          <w:sz w:val="20"/>
          <w:szCs w:val="20"/>
        </w:rPr>
        <w:t xml:space="preserve">An API key from one of: Anthropic (Claude), OpenAI, Google (Gemini), or any OpenAI-compatible custom provider (e.g. Groq, Together, Ollama).</w:t>
      </w:r>
    </w:p>
    <w:p>
      <w:pPr>
        <w:pStyle w:val="ListParagraph"/>
        <w:numPr>
          <w:ilvl w:val="0"/>
          <w:numId w:val="2"/>
        </w:numPr>
        <w:spacing w:before="30" w:after="60"/>
      </w:pPr>
      <w:r>
        <w:rPr>
          <w:rFonts w:ascii="Arial" w:cs="Arial" w:eastAsia="Arial" w:hAnsi="Arial"/>
          <w:color w:val="3D3530"/>
          <w:sz w:val="20"/>
          <w:szCs w:val="20"/>
        </w:rPr>
        <w:t xml:space="preserve">A modern browser (Chrome, Edge, Firefox, or Safari). No server, no installation.</w:t>
      </w:r>
    </w:p>
    <w:p>
      <w:pPr>
        <w:pStyle w:val="ListParagraph"/>
        <w:numPr>
          <w:ilvl w:val="0"/>
          <w:numId w:val="2"/>
        </w:numPr>
        <w:spacing w:before="30" w:after="60"/>
      </w:pPr>
      <w:r>
        <w:rPr>
          <w:rFonts w:ascii="Arial" w:cs="Arial" w:eastAsia="Arial" w:hAnsi="Arial"/>
          <w:b/>
          <w:bCs/>
          <w:color w:val="1A1612"/>
          <w:sz w:val="20"/>
          <w:szCs w:val="20"/>
        </w:rPr>
        <w:t xml:space="preserve">Recommended: </w:t>
      </w:r>
      <w:r>
        <w:rPr>
          <w:rFonts w:ascii="Arial" w:cs="Arial" w:eastAsia="Arial" w:hAnsi="Arial"/>
          <w:color w:val="3D3530"/>
          <w:sz w:val="20"/>
          <w:szCs w:val="20"/>
        </w:rPr>
        <w:t xml:space="preserve">Claude with web search enabled. PDF analysis and web search integration work best with Claude.</w:t>
      </w:r>
    </w:p>
    <w:p>
      <w:pPr>
        <w:pStyle w:val="Heading3"/>
        <w:spacing w:before="200" w:after="60"/>
      </w:pPr>
      <w:r>
        <w:rPr>
          <w:rFonts w:ascii="Arial" w:cs="Arial" w:eastAsia="Arial" w:hAnsi="Arial"/>
          <w:b/>
          <w:bCs/>
          <w:color w:val="1A1612"/>
          <w:sz w:val="22"/>
          <w:szCs w:val="22"/>
        </w:rPr>
        <w:t xml:space="preserve">First Launch</w:t>
      </w:r>
    </w:p>
    <w:p>
      <w:pPr>
        <w:pStyle w:val="ListParagraph"/>
        <w:numPr>
          <w:ilvl w:val="0"/>
          <w:numId w:val="2"/>
        </w:numPr>
        <w:spacing w:before="30" w:after="60"/>
      </w:pPr>
      <w:r>
        <w:rPr>
          <w:rFonts w:ascii="Arial" w:cs="Arial" w:eastAsia="Arial" w:hAnsi="Arial"/>
          <w:b/>
          <w:bCs/>
          <w:color w:val="1A1612"/>
          <w:sz w:val="20"/>
          <w:szCs w:val="20"/>
        </w:rPr>
        <w:t xml:space="preserve">Open </w:t>
      </w:r>
      <w:r>
        <w:rPr>
          <w:rFonts w:ascii="Courier New" w:cs="Courier New" w:eastAsia="Courier New" w:hAnsi="Courier New"/>
          <w:color w:val="2563A8"/>
          <w:sz w:val="18"/>
          <w:szCs w:val="18"/>
        </w:rPr>
        <w:t xml:space="preserve">index.html</w:t>
      </w:r>
      <w:r>
        <w:rPr>
          <w:rFonts w:ascii="Arial" w:cs="Arial" w:eastAsia="Arial" w:hAnsi="Arial"/>
          <w:color w:val="3D3530"/>
          <w:sz w:val="20"/>
          <w:szCs w:val="20"/>
        </w:rPr>
        <w:t xml:space="preserve"> in your browser.</w:t>
      </w:r>
    </w:p>
    <w:p>
      <w:pPr>
        <w:pStyle w:val="ListParagraph"/>
        <w:numPr>
          <w:ilvl w:val="0"/>
          <w:numId w:val="2"/>
        </w:numPr>
        <w:spacing w:before="30" w:after="60"/>
      </w:pPr>
      <w:r>
        <w:rPr>
          <w:rFonts w:ascii="Arial" w:cs="Arial" w:eastAsia="Arial" w:hAnsi="Arial"/>
          <w:color w:val="3D3530"/>
          <w:sz w:val="20"/>
          <w:szCs w:val="20"/>
        </w:rPr>
        <w:t xml:space="preserve">Click Settings (top right) and enter your API key.</w:t>
      </w:r>
    </w:p>
    <w:p>
      <w:pPr>
        <w:pStyle w:val="ListParagraph"/>
        <w:numPr>
          <w:ilvl w:val="0"/>
          <w:numId w:val="2"/>
        </w:numPr>
        <w:spacing w:before="30" w:after="60"/>
      </w:pPr>
      <w:r>
        <w:rPr>
          <w:rFonts w:ascii="Arial" w:cs="Arial" w:eastAsia="Arial" w:hAnsi="Arial"/>
          <w:color w:val="3D3530"/>
          <w:sz w:val="20"/>
          <w:szCs w:val="20"/>
        </w:rPr>
        <w:t xml:space="preserve">Select your provider tab (Claude / OpenAI / Gemini / Custom) and confirm the model.</w:t>
      </w:r>
    </w:p>
    <w:p>
      <w:pPr>
        <w:pStyle w:val="ListParagraph"/>
        <w:numPr>
          <w:ilvl w:val="0"/>
          <w:numId w:val="2"/>
        </w:numPr>
        <w:spacing w:before="30" w:after="60"/>
      </w:pPr>
      <w:r>
        <w:rPr>
          <w:rFonts w:ascii="Arial" w:cs="Arial" w:eastAsia="Arial" w:hAnsi="Arial"/>
          <w:color w:val="3D3530"/>
          <w:sz w:val="20"/>
          <w:szCs w:val="20"/>
        </w:rPr>
        <w:t xml:space="preserve">Toggle Web Search on if you want live internet access during research.</w:t>
      </w:r>
    </w:p>
    <w:p>
      <w:pPr>
        <w:pStyle w:val="ListParagraph"/>
        <w:numPr>
          <w:ilvl w:val="0"/>
          <w:numId w:val="2"/>
        </w:numPr>
        <w:spacing w:before="30" w:after="60"/>
      </w:pPr>
      <w:r>
        <w:rPr>
          <w:rFonts w:ascii="Arial" w:cs="Arial" w:eastAsia="Arial" w:hAnsi="Arial"/>
          <w:color w:val="3D3530"/>
          <w:sz w:val="20"/>
          <w:szCs w:val="20"/>
        </w:rPr>
        <w:t xml:space="preserve">Click Save and close Settings.</w:t>
      </w:r>
    </w:p>
    <w:p>
      <w:pPr>
        <w:pStyle w:val="ListParagraph"/>
        <w:numPr>
          <w:ilvl w:val="0"/>
          <w:numId w:val="2"/>
        </w:numPr>
        <w:spacing w:before="30" w:after="60"/>
      </w:pPr>
      <w:r>
        <w:rPr>
          <w:rFonts w:ascii="Arial" w:cs="Arial" w:eastAsia="Arial" w:hAnsi="Arial"/>
          <w:color w:val="3D3530"/>
          <w:sz w:val="20"/>
          <w:szCs w:val="20"/>
        </w:rPr>
        <w:t xml:space="preserve">You are ready. Click “+ New Topic” to begin.</w:t>
      </w:r>
    </w:p>
    <w:p>
      <w:pPr>
        <w:spacing w:before="40" w:after="0"/>
      </w:pPr>
      <w:r>
        <w:t xml:space="preserve"/>
      </w:r>
    </w:p>
    <w:p>
      <w:pPr>
        <w:pStyle w:val="Heading2"/>
        <w:pBdr>
          <w:bottom w:val="single" w:color="2563A8" w:sz="4" w:space="4"/>
        </w:pBdr>
        <w:spacing w:before="280" w:after="80"/>
      </w:pPr>
      <w:r>
        <w:rPr>
          <w:rFonts w:ascii="Georgia" w:cs="Georgia" w:eastAsia="Georgia" w:hAnsi="Georgia"/>
          <w:b/>
          <w:bCs/>
          <w:color w:val="2563A8"/>
          <w:sz w:val="26"/>
          <w:szCs w:val="26"/>
        </w:rPr>
        <w:t xml:space="preserve">The Research Wall</w:t>
      </w:r>
    </w:p>
    <w:p>
      <w:pPr>
        <w:spacing w:before="40" w:after="100" w:line="276" w:lineRule="auto"/>
      </w:pPr>
      <w:r>
        <w:rPr>
          <w:rFonts w:ascii="Arial" w:cs="Arial" w:eastAsia="Arial" w:hAnsi="Arial"/>
          <w:color w:val="3D3530"/>
          <w:sz w:val="20"/>
          <w:szCs w:val="20"/>
        </w:rPr>
        <w:t xml:space="preserve">The wall is your home screen — a grid of all research topics. Each card shows the topic title, a top claim preview, claim count, and an average confidence bar.</w:t>
      </w:r>
    </w:p>
    <w:p>
      <w:pPr>
        <w:spacing w:before="20" w:after="0"/>
      </w:pPr>
      <w:r>
        <w:t xml:space="preserve"/>
      </w:r>
    </w:p>
    <w:p>
      <w:pPr>
        <w:pStyle w:val="Heading3"/>
        <w:spacing w:before="200" w:after="60"/>
      </w:pPr>
      <w:r>
        <w:rPr>
          <w:rFonts w:ascii="Arial" w:cs="Arial" w:eastAsia="Arial" w:hAnsi="Arial"/>
          <w:b/>
          <w:bCs/>
          <w:color w:val="1A1612"/>
          <w:sz w:val="22"/>
          <w:szCs w:val="22"/>
        </w:rPr>
        <w:t xml:space="preserve">Topic Cards</w:t>
      </w:r>
    </w:p>
    <w:p>
      <w:pPr>
        <w:pStyle w:val="ListParagraph"/>
        <w:numPr>
          <w:ilvl w:val="0"/>
          <w:numId w:val="2"/>
        </w:numPr>
        <w:spacing w:before="30" w:after="60"/>
      </w:pPr>
      <w:r>
        <w:rPr>
          <w:rFonts w:ascii="Arial" w:cs="Arial" w:eastAsia="Arial" w:hAnsi="Arial"/>
          <w:b/>
          <w:bCs/>
          <w:color w:val="1A1612"/>
          <w:sz w:val="20"/>
          <w:szCs w:val="20"/>
        </w:rPr>
        <w:t xml:space="preserve">Create: </w:t>
      </w:r>
      <w:r>
        <w:rPr>
          <w:rFonts w:ascii="Arial" w:cs="Arial" w:eastAsia="Arial" w:hAnsi="Arial"/>
          <w:color w:val="3D3530"/>
          <w:sz w:val="20"/>
          <w:szCs w:val="20"/>
        </w:rPr>
        <w:t xml:space="preserve">Click the dashed “New Research Topic” card. Give it a title and choose a colour.</w:t>
      </w:r>
    </w:p>
    <w:p>
      <w:pPr>
        <w:pStyle w:val="ListParagraph"/>
        <w:numPr>
          <w:ilvl w:val="0"/>
          <w:numId w:val="2"/>
        </w:numPr>
        <w:spacing w:before="30" w:after="60"/>
      </w:pPr>
      <w:r>
        <w:rPr>
          <w:rFonts w:ascii="Arial" w:cs="Arial" w:eastAsia="Arial" w:hAnsi="Arial"/>
          <w:b/>
          <w:bCs/>
          <w:color w:val="1A1612"/>
          <w:sz w:val="20"/>
          <w:szCs w:val="20"/>
        </w:rPr>
        <w:t xml:space="preserve">Open: </w:t>
      </w:r>
      <w:r>
        <w:rPr>
          <w:rFonts w:ascii="Arial" w:cs="Arial" w:eastAsia="Arial" w:hAnsi="Arial"/>
          <w:color w:val="3D3530"/>
          <w:sz w:val="20"/>
          <w:szCs w:val="20"/>
        </w:rPr>
        <w:t xml:space="preserve">Click any card to enter that topic.</w:t>
      </w:r>
    </w:p>
    <w:p>
      <w:pPr>
        <w:pStyle w:val="ListParagraph"/>
        <w:numPr>
          <w:ilvl w:val="0"/>
          <w:numId w:val="2"/>
        </w:numPr>
        <w:spacing w:before="30" w:after="60"/>
      </w:pPr>
      <w:r>
        <w:rPr>
          <w:rFonts w:ascii="Arial" w:cs="Arial" w:eastAsia="Arial" w:hAnsi="Arial"/>
          <w:b/>
          <w:bCs/>
          <w:color w:val="1A1612"/>
          <w:sz w:val="20"/>
          <w:szCs w:val="20"/>
        </w:rPr>
        <w:t xml:space="preserve">Menu (⋯ button): </w:t>
      </w:r>
      <w:r>
        <w:rPr>
          <w:rFonts w:ascii="Arial" w:cs="Arial" w:eastAsia="Arial" w:hAnsi="Arial"/>
          <w:color w:val="3D3530"/>
          <w:sz w:val="20"/>
          <w:szCs w:val="20"/>
        </w:rPr>
        <w:t xml:space="preserve">Hover over a card to reveal the options menu. Options are Archive (hides the topic in a collapsible section) and Delete (with a 6-second undo window).</w:t>
      </w:r>
    </w:p>
    <w:p>
      <w:pPr>
        <w:pStyle w:val="ListParagraph"/>
        <w:numPr>
          <w:ilvl w:val="0"/>
          <w:numId w:val="2"/>
        </w:numPr>
        <w:spacing w:before="30" w:after="60"/>
      </w:pPr>
      <w:r>
        <w:rPr>
          <w:rFonts w:ascii="Arial" w:cs="Arial" w:eastAsia="Arial" w:hAnsi="Arial"/>
          <w:b/>
          <w:bCs/>
          <w:color w:val="1A1612"/>
          <w:sz w:val="20"/>
          <w:szCs w:val="20"/>
        </w:rPr>
        <w:t xml:space="preserve">Archived topics: </w:t>
      </w:r>
      <w:r>
        <w:rPr>
          <w:rFonts w:ascii="Arial" w:cs="Arial" w:eastAsia="Arial" w:hAnsi="Arial"/>
          <w:color w:val="3D3530"/>
          <w:sz w:val="20"/>
          <w:szCs w:val="20"/>
        </w:rPr>
        <w:t xml:space="preserve">Appear in a collapsed “Archived (N)” section at the bottom of the wall. Click to expand and restore or permanently delete.</w:t>
      </w:r>
    </w:p>
    <w:p>
      <w:pPr>
        <w:pStyle w:val="Heading3"/>
        <w:spacing w:before="200" w:after="60"/>
      </w:pPr>
      <w:r>
        <w:rPr>
          <w:rFonts w:ascii="Arial" w:cs="Arial" w:eastAsia="Arial" w:hAnsi="Arial"/>
          <w:b/>
          <w:bCs/>
          <w:color w:val="1A1612"/>
          <w:sz w:val="22"/>
          <w:szCs w:val="22"/>
        </w:rPr>
        <w:t xml:space="preserve">Search</w:t>
      </w:r>
    </w:p>
    <w:p>
      <w:pPr>
        <w:spacing w:before="40" w:after="100" w:line="276" w:lineRule="auto"/>
      </w:pPr>
      <w:r>
        <w:rPr>
          <w:rFonts w:ascii="Arial" w:cs="Arial" w:eastAsia="Arial" w:hAnsi="Arial"/>
          <w:color w:val="3D3530"/>
          <w:sz w:val="20"/>
          <w:szCs w:val="20"/>
        </w:rPr>
        <w:t xml:space="preserve">The search bar below the wall header searches across all topic titles, claim text, and claim rationale simultaneously. Results are grouped by topic with matches highlighted. Click any result to jump directly into that topic.</w:t>
      </w:r>
    </w:p>
    <w:p>
      <w:pPr>
        <w:pStyle w:val="Heading3"/>
        <w:spacing w:before="200" w:after="60"/>
      </w:pPr>
      <w:r>
        <w:rPr>
          <w:rFonts w:ascii="Arial" w:cs="Arial" w:eastAsia="Arial" w:hAnsi="Arial"/>
          <w:b/>
          <w:bCs/>
          <w:color w:val="1A1612"/>
          <w:sz w:val="22"/>
          <w:szCs w:val="22"/>
        </w:rPr>
        <w:t xml:space="preserve">Export &amp; Import Backup</w:t>
      </w:r>
    </w:p>
    <w:p>
      <w:pPr>
        <w:pStyle w:val="ListParagraph"/>
        <w:numPr>
          <w:ilvl w:val="0"/>
          <w:numId w:val="2"/>
        </w:numPr>
        <w:spacing w:before="30" w:after="60"/>
      </w:pPr>
      <w:r>
        <w:rPr>
          <w:rFonts w:ascii="Arial" w:cs="Arial" w:eastAsia="Arial" w:hAnsi="Arial"/>
          <w:b/>
          <w:bCs/>
          <w:color w:val="1A1612"/>
          <w:sz w:val="20"/>
          <w:szCs w:val="20"/>
        </w:rPr>
        <w:t xml:space="preserve">Export: </w:t>
      </w:r>
      <w:r>
        <w:rPr>
          <w:rFonts w:ascii="Arial" w:cs="Arial" w:eastAsia="Arial" w:hAnsi="Arial"/>
          <w:color w:val="3D3530"/>
          <w:sz w:val="20"/>
          <w:szCs w:val="20"/>
        </w:rPr>
        <w:t xml:space="preserve">Settings → Data → “↓ Export backup”. Downloads a JSON file containing all topics, claims, source classifications, and archived state.</w:t>
      </w:r>
    </w:p>
    <w:p>
      <w:pPr>
        <w:pStyle w:val="ListParagraph"/>
        <w:numPr>
          <w:ilvl w:val="0"/>
          <w:numId w:val="2"/>
        </w:numPr>
        <w:spacing w:before="30" w:after="60"/>
      </w:pPr>
      <w:r>
        <w:rPr>
          <w:rFonts w:ascii="Arial" w:cs="Arial" w:eastAsia="Arial" w:hAnsi="Arial"/>
          <w:b/>
          <w:bCs/>
          <w:color w:val="1A1612"/>
          <w:sz w:val="20"/>
          <w:szCs w:val="20"/>
        </w:rPr>
        <w:t xml:space="preserve">Import: </w:t>
      </w:r>
      <w:r>
        <w:rPr>
          <w:rFonts w:ascii="Arial" w:cs="Arial" w:eastAsia="Arial" w:hAnsi="Arial"/>
          <w:color w:val="3D3530"/>
          <w:sz w:val="20"/>
          <w:szCs w:val="20"/>
        </w:rPr>
        <w:t xml:space="preserve">Settings → Data → “↑ Import backup”. Merges new topics from a backup file into your existing data. Topics already present (by ID) are not duplicated.</w:t>
      </w:r>
    </w:p>
    <w:p>
      <w:pPr>
        <w:pBdr>
          <w:left w:val="single" w:color="B45309" w:sz="12" w:space="8"/>
        </w:pBdr>
        <w:spacing w:before="80" w:after="80"/>
        <w:ind w:left="440"/>
      </w:pPr>
      <w:r>
        <w:rPr>
          <w:rFonts w:ascii="Arial" w:cs="Arial" w:eastAsia="Arial" w:hAnsi="Arial"/>
          <w:i/>
          <w:iCs/>
          <w:color w:val="8C7B6E"/>
          <w:sz w:val="18"/>
          <w:szCs w:val="18"/>
        </w:rPr>
        <w:t xml:space="preserve">localStorage is capped at ~5 MB per browser origin. For typical usage (20–30 topics, 30 claims each) this is ~500–800 KB. Export backups periodically if you research intensively.</w:t>
      </w:r>
    </w:p>
    <w:p>
      <w:pPr>
        <w:spacing w:before="40" w:after="0"/>
      </w:pPr>
      <w:r>
        <w:t xml:space="preserve"/>
      </w:r>
    </w:p>
    <w:p>
      <w:pPr>
        <w:pStyle w:val="Heading2"/>
        <w:pBdr>
          <w:bottom w:val="single" w:color="2563A8" w:sz="4" w:space="4"/>
        </w:pBdr>
        <w:spacing w:before="280" w:after="80"/>
      </w:pPr>
      <w:r>
        <w:rPr>
          <w:rFonts w:ascii="Georgia" w:cs="Georgia" w:eastAsia="Georgia" w:hAnsi="Georgia"/>
          <w:b/>
          <w:bCs/>
          <w:color w:val="2563A8"/>
          <w:sz w:val="26"/>
          <w:szCs w:val="26"/>
        </w:rPr>
        <w:t xml:space="preserve">The Topic View</w:t>
      </w:r>
    </w:p>
    <w:p>
      <w:pPr>
        <w:spacing w:before="40" w:after="100" w:line="276" w:lineRule="auto"/>
      </w:pPr>
      <w:r>
        <w:rPr>
          <w:rFonts w:ascii="Arial" w:cs="Arial" w:eastAsia="Arial" w:hAnsi="Arial"/>
          <w:color w:val="3D3530"/>
          <w:sz w:val="20"/>
          <w:szCs w:val="20"/>
        </w:rPr>
        <w:t xml:space="preserve">Opening a topic splits the screen into two panels: Claims (left) and Chat (right). On mobile, a floating button opens the chat as an overlay.</w:t>
      </w:r>
    </w:p>
    <w:p>
      <w:pPr>
        <w:pStyle w:val="Heading3"/>
        <w:spacing w:before="200" w:after="60"/>
      </w:pPr>
      <w:r>
        <w:rPr>
          <w:rFonts w:ascii="Arial" w:cs="Arial" w:eastAsia="Arial" w:hAnsi="Arial"/>
          <w:b/>
          <w:bCs/>
          <w:color w:val="1A1612"/>
          <w:sz w:val="22"/>
          <w:szCs w:val="22"/>
        </w:rPr>
        <w:t xml:space="preserve">Claims Panel</w:t>
      </w:r>
    </w:p>
    <w:p>
      <w:pPr>
        <w:spacing w:before="40" w:after="100" w:line="276" w:lineRule="auto"/>
      </w:pPr>
      <w:r>
        <w:rPr>
          <w:rFonts w:ascii="Arial" w:cs="Arial" w:eastAsia="Arial" w:hAnsi="Arial"/>
          <w:color w:val="3D3530"/>
          <w:sz w:val="20"/>
          <w:szCs w:val="20"/>
        </w:rPr>
        <w:t xml:space="preserve">The claims panel is your accumulated knowledge base for the topic. Each claim card shows:</w:t>
      </w:r>
    </w:p>
    <w:p>
      <w:pPr>
        <w:pStyle w:val="ListParagraph"/>
        <w:numPr>
          <w:ilvl w:val="0"/>
          <w:numId w:val="2"/>
        </w:numPr>
        <w:spacing w:before="30" w:after="60"/>
      </w:pPr>
      <w:r>
        <w:rPr>
          <w:rFonts w:ascii="Arial" w:cs="Arial" w:eastAsia="Arial" w:hAnsi="Arial"/>
          <w:color w:val="3D3530"/>
          <w:sz w:val="20"/>
          <w:szCs w:val="20"/>
        </w:rPr>
        <w:t xml:space="preserve">The claim text and confidence classification (High / Medium / Low / Contradicted).</w:t>
      </w:r>
    </w:p>
    <w:p>
      <w:pPr>
        <w:pStyle w:val="ListParagraph"/>
        <w:numPr>
          <w:ilvl w:val="0"/>
          <w:numId w:val="2"/>
        </w:numPr>
        <w:spacing w:before="30" w:after="60"/>
      </w:pPr>
      <w:r>
        <w:rPr>
          <w:rFonts w:ascii="Arial" w:cs="Arial" w:eastAsia="Arial" w:hAnsi="Arial"/>
          <w:color w:val="3D3530"/>
          <w:sz w:val="20"/>
          <w:szCs w:val="20"/>
        </w:rPr>
        <w:t xml:space="preserve">A “Why it matters” rationale.</w:t>
      </w:r>
    </w:p>
    <w:p>
      <w:pPr>
        <w:pStyle w:val="ListParagraph"/>
        <w:numPr>
          <w:ilvl w:val="0"/>
          <w:numId w:val="2"/>
        </w:numPr>
        <w:spacing w:before="30" w:after="60"/>
      </w:pPr>
      <w:r>
        <w:rPr>
          <w:rFonts w:ascii="Arial" w:cs="Arial" w:eastAsia="Arial" w:hAnsi="Arial"/>
          <w:color w:val="3D3530"/>
          <w:sz w:val="20"/>
          <w:szCs w:val="20"/>
        </w:rPr>
        <w:t xml:space="preserve">An age indicator for claims older than 30 days.</w:t>
      </w:r>
    </w:p>
    <w:p>
      <w:pPr>
        <w:pStyle w:val="ListParagraph"/>
        <w:numPr>
          <w:ilvl w:val="0"/>
          <w:numId w:val="2"/>
        </w:numPr>
        <w:spacing w:before="30" w:after="60"/>
      </w:pPr>
      <w:r>
        <w:rPr>
          <w:rFonts w:ascii="Arial" w:cs="Arial" w:eastAsia="Arial" w:hAnsi="Arial"/>
          <w:b/>
          <w:bCs/>
          <w:color w:val="1A1612"/>
          <w:sz w:val="20"/>
          <w:szCs w:val="20"/>
        </w:rPr>
        <w:t xml:space="preserve">Sources &amp; evidence drawer: </w:t>
      </w:r>
      <w:r>
        <w:rPr>
          <w:rFonts w:ascii="Arial" w:cs="Arial" w:eastAsia="Arial" w:hAnsi="Arial"/>
          <w:color w:val="3D3530"/>
          <w:sz w:val="20"/>
          <w:szCs w:val="20"/>
        </w:rPr>
        <w:t xml:space="preserve">Click to expand. Shows a dual confidence display (LLM confidence vs. source quality score), each source with its authority tier badge, and action buttons.</w:t>
      </w:r>
    </w:p>
    <w:p>
      <w:pPr>
        <w:spacing w:before="20" w:after="0"/>
      </w:pPr>
      <w:r>
        <w:t xml:space="preserve"/>
      </w:r>
    </w:p>
    <w:p>
      <w:pPr>
        <w:pStyle w:val="Heading3"/>
        <w:spacing w:before="200" w:after="60"/>
      </w:pPr>
      <w:r>
        <w:rPr>
          <w:rFonts w:ascii="Arial" w:cs="Arial" w:eastAsia="Arial" w:hAnsi="Arial"/>
          <w:b/>
          <w:bCs/>
          <w:color w:val="1A1612"/>
          <w:sz w:val="22"/>
          <w:szCs w:val="22"/>
        </w:rPr>
        <w:t xml:space="preserve">Filter Chips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8E2D8" w:sz="1"/>
              <w:left w:val="single" w:color="E8E2D8" w:sz="1"/>
              <w:bottom w:val="single" w:color="E8E2D8" w:sz="1"/>
              <w:right w:val="single" w:color="E8E2D8" w:sz="1"/>
            </w:tcBorders>
            <w:shd w:fill="EBF2FA" w:val="clear"/>
            <w:tcMar>
              <w:top w:type="dxa" w:w="80"/>
              <w:left w:type="dxa" w:w="120"/>
              <w:bottom w:type="dxa" w:w="80"/>
              <w:right w:type="dxa" w:w="120"/>
            </w:tcMar>
          </w:tcPr>
          <w:p>
            <w:r>
              <w:rPr>
                <w:rFonts w:ascii="Arial" w:cs="Arial" w:eastAsia="Arial" w:hAnsi="Arial"/>
                <w:b/>
                <w:bCs/>
                <w:color w:val="1A1612"/>
                <w:sz w:val="20"/>
                <w:szCs w:val="20"/>
              </w:rPr>
              <w:t xml:space="preserve">All</w:t>
            </w:r>
          </w:p>
        </w:tc>
        <w:tc>
          <w:tcPr>
            <w:tcW w:type="dxa" w:w="75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Default view — all claims in insertion or sort order.</w:t>
            </w:r>
          </w:p>
        </w:tc>
      </w:tr>
      <w:tr>
        <w:tc>
          <w:tcPr>
            <w:tcW w:type="dxa" w:w="1800"/>
            <w:tcBorders>
              <w:top w:val="single" w:color="E8E2D8" w:sz="1"/>
              <w:left w:val="single" w:color="E8E2D8" w:sz="1"/>
              <w:bottom w:val="single" w:color="E8E2D8" w:sz="1"/>
              <w:right w:val="single" w:color="E8E2D8" w:sz="1"/>
            </w:tcBorders>
            <w:shd w:fill="EBF2FA" w:val="clear"/>
            <w:tcMar>
              <w:top w:type="dxa" w:w="80"/>
              <w:left w:type="dxa" w:w="120"/>
              <w:bottom w:type="dxa" w:w="80"/>
              <w:right w:type="dxa" w:w="120"/>
            </w:tcMar>
          </w:tcPr>
          <w:p>
            <w:r>
              <w:rPr>
                <w:rFonts w:ascii="Arial" w:cs="Arial" w:eastAsia="Arial" w:hAnsi="Arial"/>
                <w:b/>
                <w:bCs/>
                <w:color w:val="1A1612"/>
                <w:sz w:val="20"/>
                <w:szCs w:val="20"/>
              </w:rPr>
              <w:t xml:space="preserve">High confidence</w:t>
            </w:r>
          </w:p>
        </w:tc>
        <w:tc>
          <w:tcPr>
            <w:tcW w:type="dxa" w:w="75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Claims rated ≥70% confidence.</w:t>
            </w:r>
          </w:p>
        </w:tc>
      </w:tr>
      <w:tr>
        <w:tc>
          <w:tcPr>
            <w:tcW w:type="dxa" w:w="1800"/>
            <w:tcBorders>
              <w:top w:val="single" w:color="E8E2D8" w:sz="1"/>
              <w:left w:val="single" w:color="E8E2D8" w:sz="1"/>
              <w:bottom w:val="single" w:color="E8E2D8" w:sz="1"/>
              <w:right w:val="single" w:color="E8E2D8" w:sz="1"/>
            </w:tcBorders>
            <w:shd w:fill="EBF2FA" w:val="clear"/>
            <w:tcMar>
              <w:top w:type="dxa" w:w="80"/>
              <w:left w:type="dxa" w:w="120"/>
              <w:bottom w:type="dxa" w:w="80"/>
              <w:right w:type="dxa" w:w="120"/>
            </w:tcMar>
          </w:tcPr>
          <w:p>
            <w:r>
              <w:rPr>
                <w:rFonts w:ascii="Arial" w:cs="Arial" w:eastAsia="Arial" w:hAnsi="Arial"/>
                <w:b/>
                <w:bCs/>
                <w:color w:val="1A1612"/>
                <w:sz w:val="20"/>
                <w:szCs w:val="20"/>
              </w:rPr>
              <w:t xml:space="preserve">Contradictions</w:t>
            </w:r>
          </w:p>
        </w:tc>
        <w:tc>
          <w:tcPr>
            <w:tcW w:type="dxa" w:w="75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Claims that contradict a previously absorbed claim. Detected automatically.</w:t>
            </w:r>
          </w:p>
        </w:tc>
      </w:tr>
      <w:tr>
        <w:tc>
          <w:tcPr>
            <w:tcW w:type="dxa" w:w="1800"/>
            <w:tcBorders>
              <w:top w:val="single" w:color="E8E2D8" w:sz="1"/>
              <w:left w:val="single" w:color="E8E2D8" w:sz="1"/>
              <w:bottom w:val="single" w:color="E8E2D8" w:sz="1"/>
              <w:right w:val="single" w:color="E8E2D8" w:sz="1"/>
            </w:tcBorders>
            <w:shd w:fill="EBF2FA" w:val="clear"/>
            <w:tcMar>
              <w:top w:type="dxa" w:w="80"/>
              <w:left w:type="dxa" w:w="120"/>
              <w:bottom w:type="dxa" w:w="80"/>
              <w:right w:type="dxa" w:w="120"/>
            </w:tcMar>
          </w:tcPr>
          <w:p>
            <w:r>
              <w:rPr>
                <w:rFonts w:ascii="Arial" w:cs="Arial" w:eastAsia="Arial" w:hAnsi="Arial"/>
                <w:b/>
                <w:bCs/>
                <w:color w:val="1A1612"/>
                <w:sz w:val="20"/>
                <w:szCs w:val="20"/>
              </w:rPr>
              <w:t xml:space="preserve">Uncertain</w:t>
            </w:r>
          </w:p>
        </w:tc>
        <w:tc>
          <w:tcPr>
            <w:tcW w:type="dxa" w:w="75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Claims rated &lt;35% confidence — anecdotal, forum-sourced, or model inference.</w:t>
            </w:r>
          </w:p>
        </w:tc>
      </w:tr>
      <w:tr>
        <w:tc>
          <w:tcPr>
            <w:tcW w:type="dxa" w:w="1800"/>
            <w:tcBorders>
              <w:top w:val="single" w:color="E8E2D8" w:sz="1"/>
              <w:left w:val="single" w:color="E8E2D8" w:sz="1"/>
              <w:bottom w:val="single" w:color="E8E2D8" w:sz="1"/>
              <w:right w:val="single" w:color="E8E2D8" w:sz="1"/>
            </w:tcBorders>
            <w:shd w:fill="EBF2FA" w:val="clear"/>
            <w:tcMar>
              <w:top w:type="dxa" w:w="80"/>
              <w:left w:type="dxa" w:w="120"/>
              <w:bottom w:type="dxa" w:w="80"/>
              <w:right w:type="dxa" w:w="120"/>
            </w:tcMar>
          </w:tcPr>
          <w:p>
            <w:r>
              <w:rPr>
                <w:rFonts w:ascii="Arial" w:cs="Arial" w:eastAsia="Arial" w:hAnsi="Arial"/>
                <w:b/>
                <w:bCs/>
                <w:color w:val="1A1612"/>
                <w:sz w:val="20"/>
                <w:szCs w:val="20"/>
              </w:rPr>
              <w:t xml:space="preserve">⚡ Key Points</w:t>
            </w:r>
          </w:p>
        </w:tc>
        <w:tc>
          <w:tcPr>
            <w:tcW w:type="dxa" w:w="75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AI-generated digest: top findings, supporting claims, contradictions, and uncertain items. Headed by a research summary paragraph and a “Research gaps” note identifying what is missing or weakly sourced. Generated once and cached per topic.</w:t>
            </w:r>
          </w:p>
        </w:tc>
      </w:tr>
    </w:tbl>
    <w:p>
      <w:pPr>
        <w:spacing w:before="20" w:after="0"/>
      </w:pPr>
      <w:r>
        <w:t xml:space="preserve"/>
      </w:r>
    </w:p>
    <w:p>
      <w:pPr>
        <w:pStyle w:val="Heading3"/>
        <w:spacing w:before="200" w:after="60"/>
      </w:pPr>
      <w:r>
        <w:rPr>
          <w:rFonts w:ascii="Arial" w:cs="Arial" w:eastAsia="Arial" w:hAnsi="Arial"/>
          <w:b/>
          <w:bCs/>
          <w:color w:val="1A1612"/>
          <w:sz w:val="22"/>
          <w:szCs w:val="22"/>
        </w:rPr>
        <w:t xml:space="preserve">Sort</w:t>
      </w:r>
    </w:p>
    <w:p>
      <w:pPr>
        <w:spacing w:before="40" w:after="100" w:line="276" w:lineRule="auto"/>
      </w:pPr>
      <w:r>
        <w:rPr>
          <w:rFonts w:ascii="Arial" w:cs="Arial" w:eastAsia="Arial" w:hAnsi="Arial"/>
          <w:color w:val="3D3530"/>
          <w:sz w:val="20"/>
          <w:szCs w:val="20"/>
        </w:rPr>
        <w:t xml:space="preserve">The Sort dropdown (top right of the toolbar) orders claims by: Newest (default insertion order), Highest confidence, or Lowest confidence. Use Lowest to identify where to focus next research efforts.</w:t>
      </w:r>
    </w:p>
    <w:p>
      <w:pPr>
        <w:pStyle w:val="Heading3"/>
        <w:spacing w:before="200" w:after="60"/>
      </w:pPr>
      <w:r>
        <w:rPr>
          <w:rFonts w:ascii="Arial" w:cs="Arial" w:eastAsia="Arial" w:hAnsi="Arial"/>
          <w:b/>
          <w:bCs/>
          <w:color w:val="1A1612"/>
          <w:sz w:val="22"/>
          <w:szCs w:val="22"/>
        </w:rPr>
        <w:t xml:space="preserve">Staleness Banner</w:t>
      </w:r>
    </w:p>
    <w:p>
      <w:pPr>
        <w:spacing w:before="40" w:after="100" w:line="276" w:lineRule="auto"/>
      </w:pPr>
      <w:r>
        <w:rPr>
          <w:rFonts w:ascii="Arial" w:cs="Arial" w:eastAsia="Arial" w:hAnsi="Arial"/>
          <w:color w:val="3D3530"/>
          <w:sz w:val="20"/>
          <w:szCs w:val="20"/>
        </w:rPr>
        <w:t xml:space="preserve">If any claim is older than 30 days, an amber banner appears above the claims list. Click “↺ Validate claims” to fire a targeted query asking the AI whether those specific claims are still accurate. Claims are marked as validated and the banner clears.</w:t>
      </w:r>
    </w:p>
    <w:p>
      <w:pPr>
        <w:spacing w:before="40" w:after="0"/>
      </w:pPr>
      <w:r>
        <w:t xml:space="preserve"/>
      </w:r>
    </w:p>
    <w:p>
      <w:pPr>
        <w:pStyle w:val="Heading2"/>
        <w:pBdr>
          <w:bottom w:val="single" w:color="2563A8" w:sz="4" w:space="4"/>
        </w:pBdr>
        <w:spacing w:before="280" w:after="80"/>
      </w:pPr>
      <w:r>
        <w:rPr>
          <w:rFonts w:ascii="Georgia" w:cs="Georgia" w:eastAsia="Georgia" w:hAnsi="Georgia"/>
          <w:b/>
          <w:bCs/>
          <w:color w:val="2563A8"/>
          <w:sz w:val="26"/>
          <w:szCs w:val="26"/>
        </w:rPr>
        <w:t xml:space="preserve">The Chat Panel</w:t>
      </w:r>
    </w:p>
    <w:p>
      <w:pPr>
        <w:spacing w:before="40" w:after="100" w:line="276" w:lineRule="auto"/>
      </w:pPr>
      <w:r>
        <w:rPr>
          <w:rFonts w:ascii="Arial" w:cs="Arial" w:eastAsia="Arial" w:hAnsi="Arial"/>
          <w:color w:val="3D3530"/>
          <w:sz w:val="20"/>
          <w:szCs w:val="20"/>
        </w:rPr>
        <w:t xml:space="preserve">The chat panel is where research happens. Each conversation is per-session; closing and reopening a topic starts a fresh session, though all absorbed claims persist.</w:t>
      </w:r>
    </w:p>
    <w:p>
      <w:pPr>
        <w:spacing w:before="20" w:after="0"/>
      </w:pPr>
      <w:r>
        <w:t xml:space="preserve"/>
      </w:r>
    </w:p>
    <w:p>
      <w:pPr>
        <w:pStyle w:val="Heading3"/>
        <w:spacing w:before="200" w:after="60"/>
      </w:pPr>
      <w:r>
        <w:rPr>
          <w:rFonts w:ascii="Arial" w:cs="Arial" w:eastAsia="Arial" w:hAnsi="Arial"/>
          <w:b/>
          <w:bCs/>
          <w:color w:val="1A1612"/>
          <w:sz w:val="22"/>
          <w:szCs w:val="22"/>
        </w:rPr>
        <w:t xml:space="preserve">Sending a Message</w:t>
      </w:r>
    </w:p>
    <w:p>
      <w:pPr>
        <w:pStyle w:val="ListParagraph"/>
        <w:numPr>
          <w:ilvl w:val="0"/>
          <w:numId w:val="2"/>
        </w:numPr>
        <w:spacing w:before="30" w:after="60"/>
      </w:pPr>
      <w:r>
        <w:rPr>
          <w:rFonts w:ascii="Arial" w:cs="Arial" w:eastAsia="Arial" w:hAnsi="Arial"/>
          <w:color w:val="3D3530"/>
          <w:sz w:val="20"/>
          <w:szCs w:val="20"/>
        </w:rPr>
        <w:t xml:space="preserve">Type a research question and press Enter (or Shift+Enter for a new line).</w:t>
      </w:r>
    </w:p>
    <w:p>
      <w:pPr>
        <w:pStyle w:val="ListParagraph"/>
        <w:numPr>
          <w:ilvl w:val="0"/>
          <w:numId w:val="2"/>
        </w:numPr>
        <w:spacing w:before="30" w:after="60"/>
      </w:pPr>
      <w:r>
        <w:rPr>
          <w:rFonts w:ascii="Arial" w:cs="Arial" w:eastAsia="Arial" w:hAnsi="Arial"/>
          <w:b/>
          <w:bCs/>
          <w:color w:val="1A1612"/>
          <w:sz w:val="20"/>
          <w:szCs w:val="20"/>
        </w:rPr>
        <w:t xml:space="preserve">URL detection: </w:t>
      </w:r>
      <w:r>
        <w:rPr>
          <w:rFonts w:ascii="Arial" w:cs="Arial" w:eastAsia="Arial" w:hAnsi="Arial"/>
          <w:color w:val="3D3530"/>
          <w:sz w:val="20"/>
          <w:szCs w:val="20"/>
        </w:rPr>
        <w:t xml:space="preserve">Paste a URL by itself and press Enter. An intent popup appears — see Analysing URLs &amp; Documents below.</w:t>
      </w:r>
    </w:p>
    <w:p>
      <w:pPr>
        <w:pStyle w:val="ListParagraph"/>
        <w:numPr>
          <w:ilvl w:val="0"/>
          <w:numId w:val="2"/>
        </w:numPr>
        <w:spacing w:before="30" w:after="60"/>
      </w:pPr>
      <w:r>
        <w:rPr>
          <w:rFonts w:ascii="Arial" w:cs="Arial" w:eastAsia="Arial" w:hAnsi="Arial"/>
          <w:b/>
          <w:bCs/>
          <w:color w:val="1A1612"/>
          <w:sz w:val="20"/>
          <w:szCs w:val="20"/>
        </w:rPr>
        <w:t xml:space="preserve">File attach (📎 button): </w:t>
      </w:r>
      <w:r>
        <w:rPr>
          <w:rFonts w:ascii="Arial" w:cs="Arial" w:eastAsia="Arial" w:hAnsi="Arial"/>
          <w:color w:val="3D3530"/>
          <w:sz w:val="20"/>
          <w:szCs w:val="20"/>
        </w:rPr>
        <w:t xml:space="preserve">Click to attach a PDF, TXT, or MD file. Drag and drop onto the chat panel also works.</w:t>
      </w:r>
    </w:p>
    <w:p>
      <w:pPr>
        <w:pStyle w:val="ListParagraph"/>
        <w:numPr>
          <w:ilvl w:val="0"/>
          <w:numId w:val="2"/>
        </w:numPr>
        <w:spacing w:before="30" w:after="60"/>
      </w:pPr>
      <w:r>
        <w:rPr>
          <w:rFonts w:ascii="Arial" w:cs="Arial" w:eastAsia="Arial" w:hAnsi="Arial"/>
          <w:b/>
          <w:bCs/>
          <w:color w:val="1A1612"/>
          <w:sz w:val="20"/>
          <w:szCs w:val="20"/>
        </w:rPr>
        <w:t xml:space="preserve">Voice input (🎤 button): </w:t>
      </w:r>
      <w:r>
        <w:rPr>
          <w:rFonts w:ascii="Arial" w:cs="Arial" w:eastAsia="Arial" w:hAnsi="Arial"/>
          <w:color w:val="3D3530"/>
          <w:sz w:val="20"/>
          <w:szCs w:val="20"/>
        </w:rPr>
        <w:t xml:space="preserve">Click to dictate your question.</w:t>
      </w:r>
    </w:p>
    <w:p>
      <w:pPr>
        <w:pStyle w:val="Heading3"/>
        <w:spacing w:before="200" w:after="60"/>
      </w:pPr>
      <w:r>
        <w:rPr>
          <w:rFonts w:ascii="Arial" w:cs="Arial" w:eastAsia="Arial" w:hAnsi="Arial"/>
          <w:b/>
          <w:bCs/>
          <w:color w:val="1A1612"/>
          <w:sz w:val="22"/>
          <w:szCs w:val="22"/>
        </w:rPr>
        <w:t xml:space="preserve">Web Search</w:t>
      </w:r>
    </w:p>
    <w:p>
      <w:pPr>
        <w:spacing w:before="40" w:after="100" w:line="276" w:lineRule="auto"/>
      </w:pPr>
      <w:r>
        <w:rPr>
          <w:rFonts w:ascii="Arial" w:cs="Arial" w:eastAsia="Arial" w:hAnsi="Arial"/>
          <w:color w:val="3D3530"/>
          <w:sz w:val="20"/>
          <w:szCs w:val="20"/>
        </w:rPr>
        <w:t xml:space="preserve">Toggle “Web search” in the chat hint area to enable live internet access. When on, the AI uses its built-in search tool to retrieve current information and includes citations in its response. Recommended for any time-sensitive research.</w:t>
      </w:r>
    </w:p>
    <w:p>
      <w:pPr>
        <w:pStyle w:val="Heading3"/>
        <w:spacing w:before="200" w:after="60"/>
      </w:pPr>
      <w:r>
        <w:rPr>
          <w:rFonts w:ascii="Arial" w:cs="Arial" w:eastAsia="Arial" w:hAnsi="Arial"/>
          <w:b/>
          <w:bCs/>
          <w:color w:val="1A1612"/>
          <w:sz w:val="22"/>
          <w:szCs w:val="22"/>
        </w:rPr>
        <w:t xml:space="preserve">Chat Bubble Actions</w:t>
      </w:r>
    </w:p>
    <w:p>
      <w:pPr>
        <w:spacing w:before="40" w:after="100" w:line="276" w:lineRule="auto"/>
      </w:pPr>
      <w:r>
        <w:rPr>
          <w:rFonts w:ascii="Arial" w:cs="Arial" w:eastAsia="Arial" w:hAnsi="Arial"/>
          <w:color w:val="3D3530"/>
          <w:sz w:val="20"/>
          <w:szCs w:val="20"/>
        </w:rPr>
        <w:t xml:space="preserve">Each AI response has a subtle action bar (hover on desktop, always visible on mobile):</w:t>
      </w:r>
    </w:p>
    <w:p>
      <w:pPr>
        <w:pStyle w:val="ListParagraph"/>
        <w:numPr>
          <w:ilvl w:val="0"/>
          <w:numId w:val="2"/>
        </w:numPr>
        <w:spacing w:before="30" w:after="60"/>
      </w:pPr>
      <w:r>
        <w:rPr>
          <w:rFonts w:ascii="Arial" w:cs="Arial" w:eastAsia="Arial" w:hAnsi="Arial"/>
          <w:b/>
          <w:bCs/>
          <w:color w:val="1A1612"/>
          <w:sz w:val="20"/>
          <w:szCs w:val="20"/>
        </w:rPr>
        <w:t xml:space="preserve">Copy: </w:t>
      </w:r>
      <w:r>
        <w:rPr>
          <w:rFonts w:ascii="Arial" w:cs="Arial" w:eastAsia="Arial" w:hAnsi="Arial"/>
          <w:color w:val="3D3530"/>
          <w:sz w:val="20"/>
          <w:szCs w:val="20"/>
        </w:rPr>
        <w:t xml:space="preserve">Copies clean plain text to the clipboard, with all markdown syntax stripped.</w:t>
      </w:r>
    </w:p>
    <w:p>
      <w:pPr>
        <w:pStyle w:val="ListParagraph"/>
        <w:numPr>
          <w:ilvl w:val="0"/>
          <w:numId w:val="2"/>
        </w:numPr>
        <w:spacing w:before="30" w:after="60"/>
      </w:pPr>
      <w:r>
        <w:rPr>
          <w:rFonts w:ascii="Arial" w:cs="Arial" w:eastAsia="Arial" w:hAnsi="Arial"/>
          <w:b/>
          <w:bCs/>
          <w:color w:val="1A1612"/>
          <w:sz w:val="20"/>
          <w:szCs w:val="20"/>
        </w:rPr>
        <w:t xml:space="preserve">Copy MD: </w:t>
      </w:r>
      <w:r>
        <w:rPr>
          <w:rFonts w:ascii="Arial" w:cs="Arial" w:eastAsia="Arial" w:hAnsi="Arial"/>
          <w:color w:val="3D3530"/>
          <w:sz w:val="20"/>
          <w:szCs w:val="20"/>
        </w:rPr>
        <w:t xml:space="preserve">Copies raw markdown, suitable for pasting into Notion, Obsidian, or any markdown editor.</w:t>
      </w:r>
    </w:p>
    <w:p>
      <w:pPr>
        <w:pStyle w:val="ListParagraph"/>
        <w:numPr>
          <w:ilvl w:val="0"/>
          <w:numId w:val="2"/>
        </w:numPr>
        <w:spacing w:before="30" w:after="60"/>
      </w:pPr>
      <w:r>
        <w:rPr>
          <w:rFonts w:ascii="Arial" w:cs="Arial" w:eastAsia="Arial" w:hAnsi="Arial"/>
          <w:b/>
          <w:bCs/>
          <w:color w:val="1A1612"/>
          <w:sz w:val="20"/>
          <w:szCs w:val="20"/>
        </w:rPr>
        <w:t xml:space="preserve">↗ Share: </w:t>
      </w:r>
      <w:r>
        <w:rPr>
          <w:rFonts w:ascii="Arial" w:cs="Arial" w:eastAsia="Arial" w:hAnsi="Arial"/>
          <w:color w:val="3D3530"/>
          <w:sz w:val="20"/>
          <w:szCs w:val="20"/>
        </w:rPr>
        <w:t xml:space="preserve">On mobile, opens the native OS share sheet (WhatsApp, Mail, Notes, OneNote, etc.). On desktop, falls back to copying the plain text. This is the fastest path from research to sharing with colleagues.</w:t>
      </w:r>
    </w:p>
    <w:p>
      <w:pPr>
        <w:pStyle w:val="Heading3"/>
        <w:spacing w:before="200" w:after="60"/>
      </w:pPr>
      <w:r>
        <w:rPr>
          <w:rFonts w:ascii="Arial" w:cs="Arial" w:eastAsia="Arial" w:hAnsi="Arial"/>
          <w:b/>
          <w:bCs/>
          <w:color w:val="1A1612"/>
          <w:sz w:val="22"/>
          <w:szCs w:val="22"/>
        </w:rPr>
        <w:t xml:space="preserve">Research Action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600"/>
            <w:tcBorders>
              <w:top w:val="single" w:color="E8E2D8" w:sz="1"/>
              <w:left w:val="single" w:color="E8E2D8" w:sz="1"/>
              <w:bottom w:val="single" w:color="E8E2D8" w:sz="1"/>
              <w:right w:val="single" w:color="E8E2D8" w:sz="1"/>
            </w:tcBorders>
            <w:shd w:fill="EBF2FA" w:val="clear"/>
            <w:tcMar>
              <w:top w:type="dxa" w:w="80"/>
              <w:left w:type="dxa" w:w="120"/>
              <w:bottom w:type="dxa" w:w="80"/>
              <w:right w:type="dxa" w:w="80"/>
            </w:tcMar>
          </w:tcPr>
          <w:p>
            <w:pPr>
              <w:jc w:val="center"/>
            </w:pPr>
            <w:r>
              <w:rPr>
                <w:rFonts w:ascii="Arial" w:cs="Arial" w:eastAsia="Arial" w:hAnsi="Arial"/>
                <w:sz w:val="22"/>
                <w:szCs w:val="22"/>
              </w:rPr>
              <w:t xml:space="preserve">🔬</w:t>
            </w:r>
          </w:p>
        </w:tc>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b/>
                <w:bCs/>
                <w:color w:val="1A1612"/>
                <w:sz w:val="20"/>
                <w:szCs w:val="20"/>
              </w:rPr>
              <w:t xml:space="preserve">Research Deeper</w:t>
            </w:r>
          </w:p>
        </w:tc>
        <w:tc>
          <w:tcPr>
            <w:tcW w:type="dxa" w:w="6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color w:val="3D3530"/>
                <w:sz w:val="20"/>
                <w:szCs w:val="20"/>
              </w:rPr>
              <w:t xml:space="preserve">Fires a multi-angle deep research prompt: core findings, supporting evidence, counterarguments, key implications, and further angles to explore. Activates after the first message.</w:t>
            </w:r>
          </w:p>
        </w:tc>
      </w:tr>
      <w:tr>
        <w:tc>
          <w:tcPr>
            <w:tcW w:type="dxa" w:w="600"/>
            <w:tcBorders>
              <w:top w:val="single" w:color="E8E2D8" w:sz="1"/>
              <w:left w:val="single" w:color="E8E2D8" w:sz="1"/>
              <w:bottom w:val="single" w:color="E8E2D8" w:sz="1"/>
              <w:right w:val="single" w:color="E8E2D8" w:sz="1"/>
            </w:tcBorders>
            <w:shd w:fill="EBF2FA" w:val="clear"/>
            <w:tcMar>
              <w:top w:type="dxa" w:w="80"/>
              <w:left w:type="dxa" w:w="120"/>
              <w:bottom w:type="dxa" w:w="80"/>
              <w:right w:type="dxa" w:w="80"/>
            </w:tcMar>
          </w:tcPr>
          <w:p>
            <w:pPr>
              <w:jc w:val="center"/>
            </w:pPr>
            <w:r>
              <w:rPr>
                <w:rFonts w:ascii="Arial" w:cs="Arial" w:eastAsia="Arial" w:hAnsi="Arial"/>
                <w:sz w:val="22"/>
                <w:szCs w:val="22"/>
              </w:rPr>
              <w:t xml:space="preserve">📋</w:t>
            </w:r>
          </w:p>
        </w:tc>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b/>
                <w:bCs/>
                <w:color w:val="1A1612"/>
                <w:sz w:val="20"/>
                <w:szCs w:val="20"/>
              </w:rPr>
              <w:t xml:space="preserve">Summarise</w:t>
            </w:r>
          </w:p>
        </w:tc>
        <w:tc>
          <w:tcPr>
            <w:tcW w:type="dxa" w:w="6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color w:val="3D3530"/>
                <w:sz w:val="20"/>
                <w:szCs w:val="20"/>
              </w:rPr>
              <w:t xml:space="preserve">Generates an executive summary of the session: a summary paragraph, key findings as bullets, and what remains uncertain.</w:t>
            </w:r>
          </w:p>
        </w:tc>
      </w:tr>
      <w:tr>
        <w:tc>
          <w:tcPr>
            <w:tcW w:type="dxa" w:w="600"/>
            <w:tcBorders>
              <w:top w:val="single" w:color="E8E2D8" w:sz="1"/>
              <w:left w:val="single" w:color="E8E2D8" w:sz="1"/>
              <w:bottom w:val="single" w:color="E8E2D8" w:sz="1"/>
              <w:right w:val="single" w:color="E8E2D8" w:sz="1"/>
            </w:tcBorders>
            <w:shd w:fill="EBF2FA" w:val="clear"/>
            <w:tcMar>
              <w:top w:type="dxa" w:w="80"/>
              <w:left w:type="dxa" w:w="120"/>
              <w:bottom w:type="dxa" w:w="80"/>
              <w:right w:type="dxa" w:w="80"/>
            </w:tcMar>
          </w:tcPr>
          <w:p>
            <w:pPr>
              <w:jc w:val="center"/>
            </w:pPr>
            <w:r>
              <w:rPr>
                <w:rFonts w:ascii="Arial" w:cs="Arial" w:eastAsia="Arial" w:hAnsi="Arial"/>
                <w:sz w:val="22"/>
                <w:szCs w:val="22"/>
              </w:rPr>
              <w:t xml:space="preserve">↓ Export</w:t>
            </w:r>
          </w:p>
        </w:tc>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b/>
                <w:bCs/>
                <w:color w:val="1A1612"/>
                <w:sz w:val="20"/>
                <w:szCs w:val="20"/>
              </w:rPr>
              <w:t xml:space="preserve">Export</w:t>
            </w:r>
          </w:p>
        </w:tc>
        <w:tc>
          <w:tcPr>
            <w:tcW w:type="dxa" w:w="6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color w:val="3D3530"/>
                <w:sz w:val="20"/>
                <w:szCs w:val="20"/>
              </w:rPr>
              <w:t xml:space="preserve">Downloads the topic’s claims and conversation as Plain text (.txt) or Markdown (.md). A small picker appears above the button — choose your format.</w:t>
            </w:r>
          </w:p>
        </w:tc>
      </w:tr>
    </w:tbl>
    <w:p>
      <w:pPr>
        <w:spacing w:before="40" w:after="0"/>
      </w:pPr>
      <w:r>
        <w:t xml:space="preserve"/>
      </w:r>
    </w:p>
    <w:p>
      <w:pPr>
        <w:pStyle w:val="Heading2"/>
        <w:pBdr>
          <w:bottom w:val="single" w:color="2563A8" w:sz="4" w:space="4"/>
        </w:pBdr>
        <w:spacing w:before="280" w:after="80"/>
      </w:pPr>
      <w:r>
        <w:rPr>
          <w:rFonts w:ascii="Georgia" w:cs="Georgia" w:eastAsia="Georgia" w:hAnsi="Georgia"/>
          <w:b/>
          <w:bCs/>
          <w:color w:val="2563A8"/>
          <w:sz w:val="26"/>
          <w:szCs w:val="26"/>
        </w:rPr>
        <w:t xml:space="preserve">Absorbing Claims</w:t>
      </w:r>
    </w:p>
    <w:p>
      <w:pPr>
        <w:spacing w:before="40" w:after="100" w:line="276" w:lineRule="auto"/>
      </w:pPr>
      <w:r>
        <w:rPr>
          <w:rFonts w:ascii="Arial" w:cs="Arial" w:eastAsia="Arial" w:hAnsi="Arial"/>
          <w:color w:val="3D3530"/>
          <w:sz w:val="20"/>
          <w:szCs w:val="20"/>
        </w:rPr>
        <w:t xml:space="preserve">After each AI response, MyResAssist automatically extracts 2–4 key factual claims and presents them in an “Absorb” panel below the response. Each proposed claim shows:</w:t>
      </w:r>
    </w:p>
    <w:p>
      <w:pPr>
        <w:pStyle w:val="ListParagraph"/>
        <w:numPr>
          <w:ilvl w:val="0"/>
          <w:numId w:val="2"/>
        </w:numPr>
        <w:spacing w:before="30" w:after="60"/>
      </w:pPr>
      <w:r>
        <w:rPr>
          <w:rFonts w:ascii="Arial" w:cs="Arial" w:eastAsia="Arial" w:hAnsi="Arial"/>
          <w:color w:val="3D3530"/>
          <w:sz w:val="20"/>
          <w:szCs w:val="20"/>
        </w:rPr>
        <w:t xml:space="preserve">The claim text and confidence rating.</w:t>
      </w:r>
    </w:p>
    <w:p>
      <w:pPr>
        <w:pStyle w:val="ListParagraph"/>
        <w:numPr>
          <w:ilvl w:val="0"/>
          <w:numId w:val="2"/>
        </w:numPr>
        <w:spacing w:before="30" w:after="60"/>
      </w:pPr>
      <w:r>
        <w:rPr>
          <w:rFonts w:ascii="Arial" w:cs="Arial" w:eastAsia="Arial" w:hAnsi="Arial"/>
          <w:color w:val="3D3530"/>
          <w:sz w:val="20"/>
          <w:szCs w:val="20"/>
        </w:rPr>
        <w:t xml:space="preserve">A “Why it matters” rationale.</w:t>
      </w:r>
    </w:p>
    <w:p>
      <w:pPr>
        <w:pStyle w:val="ListParagraph"/>
        <w:numPr>
          <w:ilvl w:val="0"/>
          <w:numId w:val="2"/>
        </w:numPr>
        <w:spacing w:before="30" w:after="60"/>
      </w:pPr>
      <w:r>
        <w:rPr>
          <w:rFonts w:ascii="Arial" w:cs="Arial" w:eastAsia="Arial" w:hAnsi="Arial"/>
          <w:color w:val="3D3530"/>
          <w:sz w:val="20"/>
          <w:szCs w:val="20"/>
        </w:rPr>
        <w:t xml:space="preserve">Source citations if the AI provided them, classified by authority tier.</w:t>
      </w:r>
    </w:p>
    <w:p>
      <w:pPr>
        <w:spacing w:before="10" w:after="0"/>
      </w:pPr>
      <w:r>
        <w:t xml:space="preserve"/>
      </w:r>
    </w:p>
    <w:p>
      <w:pPr>
        <w:spacing w:before="40" w:after="100" w:line="276" w:lineRule="auto"/>
      </w:pPr>
      <w:r>
        <w:rPr>
          <w:rFonts w:ascii="Arial" w:cs="Arial" w:eastAsia="Arial" w:hAnsi="Arial"/>
          <w:color w:val="3D3530"/>
          <w:sz w:val="20"/>
          <w:szCs w:val="20"/>
        </w:rPr>
        <w:t xml:space="preserve">Use the checkboxes to select which claims to keep, then click “Save selected claims”. Contradictions with existing claims are detected automatically at this stage.</w:t>
      </w:r>
    </w:p>
    <w:p>
      <w:pPr>
        <w:pBdr>
          <w:left w:val="single" w:color="B45309" w:sz="12" w:space="8"/>
        </w:pBdr>
        <w:spacing w:before="80" w:after="80"/>
        <w:ind w:left="440"/>
      </w:pPr>
      <w:r>
        <w:rPr>
          <w:rFonts w:ascii="Arial" w:cs="Arial" w:eastAsia="Arial" w:hAnsi="Arial"/>
          <w:i/>
          <w:iCs/>
          <w:color w:val="8C7B6E"/>
          <w:sz w:val="18"/>
          <w:szCs w:val="18"/>
        </w:rPr>
        <w:t xml:space="preserve">The claim extractor reads up to 6,000 characters of the AI response, ensuring comprehensive extraction even from detailed URL or document analyses.</w:t>
      </w:r>
    </w:p>
    <w:p>
      <w:pPr>
        <w:spacing w:before="40" w:after="0"/>
      </w:pPr>
      <w:r>
        <w:t xml:space="preserve"/>
      </w:r>
    </w:p>
    <w:p>
      <w:pPr>
        <w:pStyle w:val="Heading2"/>
        <w:pBdr>
          <w:bottom w:val="single" w:color="2563A8" w:sz="4" w:space="4"/>
        </w:pBdr>
        <w:spacing w:before="280" w:after="80"/>
      </w:pPr>
      <w:r>
        <w:rPr>
          <w:rFonts w:ascii="Georgia" w:cs="Georgia" w:eastAsia="Georgia" w:hAnsi="Georgia"/>
          <w:b/>
          <w:bCs/>
          <w:color w:val="2563A8"/>
          <w:sz w:val="26"/>
          <w:szCs w:val="26"/>
        </w:rPr>
        <w:t xml:space="preserve">Source Intelligence</w:t>
      </w:r>
    </w:p>
    <w:p>
      <w:pPr>
        <w:spacing w:before="40" w:after="100" w:line="276" w:lineRule="auto"/>
      </w:pPr>
      <w:r>
        <w:rPr>
          <w:rFonts w:ascii="Arial" w:cs="Arial" w:eastAsia="Arial" w:hAnsi="Arial"/>
          <w:color w:val="3D3530"/>
          <w:sz w:val="20"/>
          <w:szCs w:val="20"/>
        </w:rPr>
        <w:t xml:space="preserve">Every claim has two independent confidence signals that are displayed in the sources drawer:</w:t>
      </w:r>
    </w:p>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8" w:sz="1"/>
              <w:left w:val="single" w:color="E8E2D8" w:sz="1"/>
              <w:bottom w:val="single" w:color="E8E2D8" w:sz="1"/>
              <w:right w:val="single" w:color="E8E2D8" w:sz="1"/>
            </w:tcBorders>
            <w:shd w:fill="EBF2FA" w:val="clear"/>
            <w:tcMar>
              <w:top w:type="dxa" w:w="80"/>
              <w:left w:type="dxa" w:w="120"/>
              <w:bottom w:type="dxa" w:w="80"/>
              <w:right w:type="dxa" w:w="120"/>
            </w:tcMar>
          </w:tcPr>
          <w:p>
            <w:r>
              <w:rPr>
                <w:rFonts w:ascii="Arial" w:cs="Arial" w:eastAsia="Arial" w:hAnsi="Arial"/>
                <w:b/>
                <w:bCs/>
                <w:color w:val="1A1612"/>
                <w:sz w:val="20"/>
                <w:szCs w:val="20"/>
              </w:rPr>
              <w:t xml:space="preserve">LLM Confidence</w:t>
            </w:r>
          </w:p>
        </w:tc>
        <w:tc>
          <w:tcPr>
            <w:tcW w:type="dxa" w:w="69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The model’s internal certainty, calibrated against the type of sources it cited.</w:t>
            </w:r>
          </w:p>
        </w:tc>
      </w:tr>
      <w:tr>
        <w:tc>
          <w:tcPr>
            <w:tcW w:type="dxa" w:w="2400"/>
            <w:tcBorders>
              <w:top w:val="single" w:color="E8E2D8" w:sz="1"/>
              <w:left w:val="single" w:color="E8E2D8" w:sz="1"/>
              <w:bottom w:val="single" w:color="E8E2D8" w:sz="1"/>
              <w:right w:val="single" w:color="E8E2D8" w:sz="1"/>
            </w:tcBorders>
            <w:shd w:fill="EBF2FA" w:val="clear"/>
            <w:tcMar>
              <w:top w:type="dxa" w:w="80"/>
              <w:left w:type="dxa" w:w="120"/>
              <w:bottom w:type="dxa" w:w="80"/>
              <w:right w:type="dxa" w:w="120"/>
            </w:tcMar>
          </w:tcPr>
          <w:p>
            <w:r>
              <w:rPr>
                <w:rFonts w:ascii="Arial" w:cs="Arial" w:eastAsia="Arial" w:hAnsi="Arial"/>
                <w:b/>
                <w:bCs/>
                <w:color w:val="1A1612"/>
                <w:sz w:val="20"/>
                <w:szCs w:val="20"/>
              </w:rPr>
              <w:t xml:space="preserve">Source Quality</w:t>
            </w:r>
          </w:p>
        </w:tc>
        <w:tc>
          <w:tcPr>
            <w:tcW w:type="dxa" w:w="69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A weighted score derived from the actual authority tiers of cited sources, independent of model opinion.</w:t>
            </w:r>
          </w:p>
        </w:tc>
      </w:tr>
    </w:tbl>
    <w:p>
      <w:pPr>
        <w:spacing w:before="20" w:after="0"/>
      </w:pPr>
      <w:r>
        <w:t xml:space="preserve"/>
      </w:r>
    </w:p>
    <w:p>
      <w:pPr>
        <w:pStyle w:val="Heading3"/>
        <w:spacing w:before="200" w:after="60"/>
      </w:pPr>
      <w:r>
        <w:rPr>
          <w:rFonts w:ascii="Arial" w:cs="Arial" w:eastAsia="Arial" w:hAnsi="Arial"/>
          <w:b/>
          <w:bCs/>
          <w:color w:val="1A1612"/>
          <w:sz w:val="22"/>
          <w:szCs w:val="22"/>
        </w:rPr>
        <w:t xml:space="preserve">Source Authority Tiers</w:t>
      </w:r>
    </w:p>
    <w:p>
      <w:pPr>
        <w:pStyle w:val="ListParagraph"/>
        <w:numPr>
          <w:ilvl w:val="0"/>
          <w:numId w:val="2"/>
        </w:numPr>
        <w:spacing w:before="30" w:after="60"/>
      </w:pPr>
      <w:r>
        <w:rPr>
          <w:rFonts w:ascii="Arial" w:cs="Arial" w:eastAsia="Arial" w:hAnsi="Arial"/>
          <w:b/>
          <w:bCs/>
          <w:color w:val="1A1612"/>
          <w:sz w:val="20"/>
          <w:szCs w:val="20"/>
        </w:rPr>
        <w:t xml:space="preserve">🟢 Primary: </w:t>
      </w:r>
      <w:r>
        <w:rPr>
          <w:rFonts w:ascii="Arial" w:cs="Arial" w:eastAsia="Arial" w:hAnsi="Arial"/>
          <w:color w:val="3D3530"/>
          <w:sz w:val="20"/>
          <w:szCs w:val="20"/>
        </w:rPr>
        <w:t xml:space="preserve">.gov, .edu, .ac.uk, Reuters, AP, AFP, WHO, UN, IMF, World Bank, peer-reviewed journals.</w:t>
      </w:r>
    </w:p>
    <w:p>
      <w:pPr>
        <w:pStyle w:val="ListParagraph"/>
        <w:numPr>
          <w:ilvl w:val="0"/>
          <w:numId w:val="2"/>
        </w:numPr>
        <w:spacing w:before="30" w:after="60"/>
      </w:pPr>
      <w:r>
        <w:rPr>
          <w:rFonts w:ascii="Arial" w:cs="Arial" w:eastAsia="Arial" w:hAnsi="Arial"/>
          <w:b/>
          <w:bCs/>
          <w:color w:val="1A1612"/>
          <w:sz w:val="20"/>
          <w:szCs w:val="20"/>
        </w:rPr>
        <w:t xml:space="preserve">🔵 Secondary: </w:t>
      </w:r>
      <w:r>
        <w:rPr>
          <w:rFonts w:ascii="Arial" w:cs="Arial" w:eastAsia="Arial" w:hAnsi="Arial"/>
          <w:color w:val="3D3530"/>
          <w:sz w:val="20"/>
          <w:szCs w:val="20"/>
        </w:rPr>
        <w:t xml:space="preserve">Guardian, NYT, BBC, FT, Bloomberg, The Hindu, Al Jazeera, major think tanks.</w:t>
      </w:r>
    </w:p>
    <w:p>
      <w:pPr>
        <w:pStyle w:val="ListParagraph"/>
        <w:numPr>
          <w:ilvl w:val="0"/>
          <w:numId w:val="2"/>
        </w:numPr>
        <w:spacing w:before="30" w:after="60"/>
      </w:pPr>
      <w:r>
        <w:rPr>
          <w:rFonts w:ascii="Arial" w:cs="Arial" w:eastAsia="Arial" w:hAnsi="Arial"/>
          <w:b/>
          <w:bCs/>
          <w:color w:val="1A1612"/>
          <w:sz w:val="20"/>
          <w:szCs w:val="20"/>
        </w:rPr>
        <w:t xml:space="preserve">🟡 Tertiary: </w:t>
      </w:r>
      <w:r>
        <w:rPr>
          <w:rFonts w:ascii="Arial" w:cs="Arial" w:eastAsia="Arial" w:hAnsi="Arial"/>
          <w:color w:val="3D3530"/>
          <w:sz w:val="20"/>
          <w:szCs w:val="20"/>
        </w:rPr>
        <w:t xml:space="preserve">Niche or lifestyle sites, attributed blogs, specialist forums.</w:t>
      </w:r>
    </w:p>
    <w:p>
      <w:pPr>
        <w:pStyle w:val="ListParagraph"/>
        <w:numPr>
          <w:ilvl w:val="0"/>
          <w:numId w:val="2"/>
        </w:numPr>
        <w:spacing w:before="30" w:after="60"/>
      </w:pPr>
      <w:r>
        <w:rPr>
          <w:rFonts w:ascii="Arial" w:cs="Arial" w:eastAsia="Arial" w:hAnsi="Arial"/>
          <w:b/>
          <w:bCs/>
          <w:color w:val="1A1612"/>
          <w:sz w:val="20"/>
          <w:szCs w:val="20"/>
        </w:rPr>
        <w:t xml:space="preserve">🔴 Weak: </w:t>
      </w:r>
      <w:r>
        <w:rPr>
          <w:rFonts w:ascii="Arial" w:cs="Arial" w:eastAsia="Arial" w:hAnsi="Arial"/>
          <w:color w:val="3D3530"/>
          <w:sz w:val="20"/>
          <w:szCs w:val="20"/>
        </w:rPr>
        <w:t xml:space="preserve">No byline, SEO listicles, aggregators without primary citations.</w:t>
      </w:r>
    </w:p>
    <w:p>
      <w:pPr>
        <w:spacing w:before="10" w:after="0"/>
      </w:pPr>
      <w:r>
        <w:t xml:space="preserve"/>
      </w:r>
    </w:p>
    <w:p>
      <w:pPr>
        <w:spacing w:before="40" w:after="100" w:line="276" w:lineRule="auto"/>
      </w:pPr>
      <w:r>
        <w:rPr>
          <w:rFonts w:ascii="Arial" w:cs="Arial" w:eastAsia="Arial" w:hAnsi="Arial"/>
          <w:color w:val="3D3530"/>
          <w:sz w:val="20"/>
          <w:szCs w:val="20"/>
        </w:rPr>
        <w:t xml:space="preserve">Sources are classified first by a fast rule-based engine (~40 domain patterns), then for ambiguous cases by a lightweight AI call. Results are cached so the same URL is never reclassified twice.</w:t>
      </w:r>
    </w:p>
    <w:p>
      <w:pPr>
        <w:pStyle w:val="Heading3"/>
        <w:spacing w:before="200" w:after="60"/>
      </w:pPr>
      <w:r>
        <w:rPr>
          <w:rFonts w:ascii="Arial" w:cs="Arial" w:eastAsia="Arial" w:hAnsi="Arial"/>
          <w:b/>
          <w:bCs/>
          <w:color w:val="1A1612"/>
          <w:sz w:val="22"/>
          <w:szCs w:val="22"/>
        </w:rPr>
        <w:t xml:space="preserve">Find Better Sources</w:t>
      </w:r>
    </w:p>
    <w:p>
      <w:pPr>
        <w:spacing w:before="40" w:after="100" w:line="276" w:lineRule="auto"/>
      </w:pPr>
      <w:r>
        <w:rPr>
          <w:rFonts w:ascii="Arial" w:cs="Arial" w:eastAsia="Arial" w:hAnsi="Arial"/>
          <w:color w:val="3D3530"/>
          <w:sz w:val="20"/>
          <w:szCs w:val="20"/>
        </w:rPr>
        <w:t xml:space="preserve">Each claim’s sources drawer has a “↺ Find better sources” button. This fires a targeted query instructing the AI to prioritise, in order: peer-reviewed sources → government/official statistics → major newswires (Reuters, AP, AFP, Bloomberg) → established quality outlets, and to flag if a claim only has lower-tier backing.</w:t>
      </w:r>
    </w:p>
    <w:p>
      <w:pPr>
        <w:spacing w:before="40" w:after="0"/>
      </w:pPr>
      <w:r>
        <w:t xml:space="preserve"/>
      </w:r>
    </w:p>
    <w:p>
      <w:pPr>
        <w:pStyle w:val="Heading2"/>
        <w:pBdr>
          <w:bottom w:val="single" w:color="2563A8" w:sz="4" w:space="4"/>
        </w:pBdr>
        <w:spacing w:before="280" w:after="80"/>
      </w:pPr>
      <w:r>
        <w:rPr>
          <w:rFonts w:ascii="Georgia" w:cs="Georgia" w:eastAsia="Georgia" w:hAnsi="Georgia"/>
          <w:b/>
          <w:bCs/>
          <w:color w:val="2563A8"/>
          <w:sz w:val="26"/>
          <w:szCs w:val="26"/>
        </w:rPr>
        <w:t xml:space="preserve">Analysing URLs &amp; Documents</w:t>
      </w:r>
    </w:p>
    <w:p>
      <w:pPr>
        <w:spacing w:before="40" w:after="100" w:line="276" w:lineRule="auto"/>
      </w:pPr>
      <w:r>
        <w:rPr>
          <w:rFonts w:ascii="Arial" w:cs="Arial" w:eastAsia="Arial" w:hAnsi="Arial"/>
          <w:color w:val="3D3530"/>
          <w:sz w:val="20"/>
          <w:szCs w:val="20"/>
        </w:rPr>
        <w:t xml:space="preserve">MyResAssist can analyse external content — articles, reports, filings, and documents — with a structured intent before running the analysis.</w:t>
      </w:r>
    </w:p>
    <w:p>
      <w:pPr>
        <w:spacing w:before="10" w:after="0"/>
      </w:pPr>
      <w:r>
        <w:t xml:space="preserve"/>
      </w:r>
    </w:p>
    <w:p>
      <w:pPr>
        <w:pStyle w:val="Heading3"/>
        <w:spacing w:before="200" w:after="60"/>
      </w:pPr>
      <w:r>
        <w:rPr>
          <w:rFonts w:ascii="Arial" w:cs="Arial" w:eastAsia="Arial" w:hAnsi="Arial"/>
          <w:b/>
          <w:bCs/>
          <w:color w:val="1A1612"/>
          <w:sz w:val="22"/>
          <w:szCs w:val="22"/>
        </w:rPr>
        <w:t xml:space="preserve">URL Analysis</w:t>
      </w:r>
    </w:p>
    <w:p>
      <w:pPr>
        <w:pStyle w:val="ListParagraph"/>
        <w:numPr>
          <w:ilvl w:val="0"/>
          <w:numId w:val="2"/>
        </w:numPr>
        <w:spacing w:before="30" w:after="60"/>
      </w:pPr>
      <w:r>
        <w:rPr>
          <w:rFonts w:ascii="Arial" w:cs="Arial" w:eastAsia="Arial" w:hAnsi="Arial"/>
          <w:color w:val="3D3530"/>
          <w:sz w:val="20"/>
          <w:szCs w:val="20"/>
        </w:rPr>
        <w:t xml:space="preserve">Paste a URL by itself into the chat input and press Enter.</w:t>
      </w:r>
    </w:p>
    <w:p>
      <w:pPr>
        <w:pStyle w:val="ListParagraph"/>
        <w:numPr>
          <w:ilvl w:val="0"/>
          <w:numId w:val="2"/>
        </w:numPr>
        <w:spacing w:before="30" w:after="60"/>
      </w:pPr>
      <w:r>
        <w:rPr>
          <w:rFonts w:ascii="Arial" w:cs="Arial" w:eastAsia="Arial" w:hAnsi="Arial"/>
          <w:color w:val="3D3530"/>
          <w:sz w:val="20"/>
          <w:szCs w:val="20"/>
        </w:rPr>
        <w:t xml:space="preserve">An intent popup appears with four options:</w:t>
      </w:r>
    </w:p>
    <w:p>
      <w:pPr>
        <w:pStyle w:val="ListParagraph"/>
        <w:numPr>
          <w:ilvl w:val="1"/>
          <w:numId w:val="2"/>
        </w:numPr>
        <w:spacing w:before="30" w:after="60"/>
      </w:pPr>
      <w:r>
        <w:rPr>
          <w:rFonts w:ascii="Arial" w:cs="Arial" w:eastAsia="Arial" w:hAnsi="Arial"/>
          <w:b/>
          <w:bCs/>
          <w:color w:val="1A1612"/>
          <w:sz w:val="20"/>
          <w:szCs w:val="20"/>
        </w:rPr>
        <w:t xml:space="preserve">Summarise: </w:t>
      </w:r>
      <w:r>
        <w:rPr>
          <w:rFonts w:ascii="Arial" w:cs="Arial" w:eastAsia="Arial" w:hAnsi="Arial"/>
          <w:color w:val="3D3530"/>
          <w:sz w:val="20"/>
          <w:szCs w:val="20"/>
        </w:rPr>
        <w:t xml:space="preserve">Extract key points and the main argument.</w:t>
      </w:r>
    </w:p>
    <w:p>
      <w:pPr>
        <w:pStyle w:val="ListParagraph"/>
        <w:numPr>
          <w:ilvl w:val="1"/>
          <w:numId w:val="2"/>
        </w:numPr>
        <w:spacing w:before="30" w:after="60"/>
      </w:pPr>
      <w:r>
        <w:rPr>
          <w:rFonts w:ascii="Arial" w:cs="Arial" w:eastAsia="Arial" w:hAnsi="Arial"/>
          <w:b/>
          <w:bCs/>
          <w:color w:val="1A1612"/>
          <w:sz w:val="20"/>
          <w:szCs w:val="20"/>
        </w:rPr>
        <w:t xml:space="preserve">Extract &amp; validate claims: </w:t>
      </w:r>
      <w:r>
        <w:rPr>
          <w:rFonts w:ascii="Arial" w:cs="Arial" w:eastAsia="Arial" w:hAnsi="Arial"/>
          <w:color w:val="3D3530"/>
          <w:sz w:val="20"/>
          <w:szCs w:val="20"/>
        </w:rPr>
        <w:t xml:space="preserve">Pull out factual claims and assess credibility.</w:t>
      </w:r>
    </w:p>
    <w:p>
      <w:pPr>
        <w:pStyle w:val="ListParagraph"/>
        <w:numPr>
          <w:ilvl w:val="1"/>
          <w:numId w:val="2"/>
        </w:numPr>
        <w:spacing w:before="30" w:after="60"/>
      </w:pPr>
      <w:r>
        <w:rPr>
          <w:rFonts w:ascii="Arial" w:cs="Arial" w:eastAsia="Arial" w:hAnsi="Arial"/>
          <w:b/>
          <w:bCs/>
          <w:color w:val="1A1612"/>
          <w:sz w:val="20"/>
          <w:szCs w:val="20"/>
        </w:rPr>
        <w:t xml:space="preserve">Find counter-arguments: </w:t>
      </w:r>
      <w:r>
        <w:rPr>
          <w:rFonts w:ascii="Arial" w:cs="Arial" w:eastAsia="Arial" w:hAnsi="Arial"/>
          <w:color w:val="3D3530"/>
          <w:sz w:val="20"/>
          <w:szCs w:val="20"/>
        </w:rPr>
        <w:t xml:space="preserve">Identify what challenges or contradicts the content.</w:t>
      </w:r>
    </w:p>
    <w:p>
      <w:pPr>
        <w:pStyle w:val="ListParagraph"/>
        <w:numPr>
          <w:ilvl w:val="1"/>
          <w:numId w:val="2"/>
        </w:numPr>
        <w:spacing w:before="30" w:after="60"/>
      </w:pPr>
      <w:r>
        <w:rPr>
          <w:rFonts w:ascii="Arial" w:cs="Arial" w:eastAsia="Arial" w:hAnsi="Arial"/>
          <w:b/>
          <w:bCs/>
          <w:color w:val="1A1612"/>
          <w:sz w:val="20"/>
          <w:szCs w:val="20"/>
        </w:rPr>
        <w:t xml:space="preserve">Full analysis: </w:t>
      </w:r>
      <w:r>
        <w:rPr>
          <w:rFonts w:ascii="Arial" w:cs="Arial" w:eastAsia="Arial" w:hAnsi="Arial"/>
          <w:color w:val="3D3530"/>
          <w:sz w:val="20"/>
          <w:szCs w:val="20"/>
        </w:rPr>
        <w:t xml:space="preserve">All three combined.</w:t>
      </w:r>
    </w:p>
    <w:p>
      <w:pPr>
        <w:pStyle w:val="ListParagraph"/>
        <w:numPr>
          <w:ilvl w:val="0"/>
          <w:numId w:val="2"/>
        </w:numPr>
        <w:spacing w:before="30" w:after="60"/>
      </w:pPr>
      <w:r>
        <w:rPr>
          <w:rFonts w:ascii="Arial" w:cs="Arial" w:eastAsia="Arial" w:hAnsi="Arial"/>
          <w:color w:val="3D3530"/>
          <w:sz w:val="20"/>
          <w:szCs w:val="20"/>
        </w:rPr>
        <w:t xml:space="preserve">The AI retrieves the article and responds accordingly. Claims can then be absorbed.</w:t>
      </w:r>
    </w:p>
    <w:p>
      <w:pPr>
        <w:pBdr>
          <w:left w:val="single" w:color="B45309" w:sz="12" w:space="8"/>
        </w:pBdr>
        <w:spacing w:before="80" w:after="80"/>
        <w:ind w:left="440"/>
      </w:pPr>
      <w:r>
        <w:rPr>
          <w:rFonts w:ascii="Arial" w:cs="Arial" w:eastAsia="Arial" w:hAnsi="Arial"/>
          <w:i/>
          <w:iCs/>
          <w:color w:val="8C7B6E"/>
          <w:sz w:val="18"/>
          <w:szCs w:val="18"/>
        </w:rPr>
        <w:t xml:space="preserve">URL retrieval depends on your AI provider’s web access capability. Results are best with Claude (web search enabled). Other providers may not be able to retrieve all pages.</w:t>
      </w:r>
    </w:p>
    <w:p>
      <w:pPr>
        <w:pStyle w:val="Heading3"/>
        <w:spacing w:before="200" w:after="60"/>
      </w:pPr>
      <w:r>
        <w:rPr>
          <w:rFonts w:ascii="Arial" w:cs="Arial" w:eastAsia="Arial" w:hAnsi="Arial"/>
          <w:b/>
          <w:bCs/>
          <w:color w:val="1A1612"/>
          <w:sz w:val="22"/>
          <w:szCs w:val="22"/>
        </w:rPr>
        <w:t xml:space="preserve">PDF &amp; Document Analysis</w:t>
      </w:r>
    </w:p>
    <w:p>
      <w:pPr>
        <w:pStyle w:val="ListParagraph"/>
        <w:numPr>
          <w:ilvl w:val="0"/>
          <w:numId w:val="2"/>
        </w:numPr>
        <w:spacing w:before="30" w:after="60"/>
      </w:pPr>
      <w:r>
        <w:rPr>
          <w:rFonts w:ascii="Arial" w:cs="Arial" w:eastAsia="Arial" w:hAnsi="Arial"/>
          <w:b/>
          <w:bCs/>
          <w:color w:val="1A1612"/>
          <w:sz w:val="20"/>
          <w:szCs w:val="20"/>
        </w:rPr>
        <w:t xml:space="preserve">Attach button (📎): </w:t>
      </w:r>
      <w:r>
        <w:rPr>
          <w:rFonts w:ascii="Arial" w:cs="Arial" w:eastAsia="Arial" w:hAnsi="Arial"/>
          <w:color w:val="3D3530"/>
          <w:sz w:val="20"/>
          <w:szCs w:val="20"/>
        </w:rPr>
        <w:t xml:space="preserve">Click to open a file picker. Accepts .pdf, .txt, and .md files.</w:t>
      </w:r>
    </w:p>
    <w:p>
      <w:pPr>
        <w:pStyle w:val="ListParagraph"/>
        <w:numPr>
          <w:ilvl w:val="0"/>
          <w:numId w:val="2"/>
        </w:numPr>
        <w:spacing w:before="30" w:after="60"/>
      </w:pPr>
      <w:r>
        <w:rPr>
          <w:rFonts w:ascii="Arial" w:cs="Arial" w:eastAsia="Arial" w:hAnsi="Arial"/>
          <w:b/>
          <w:bCs/>
          <w:color w:val="1A1612"/>
          <w:sz w:val="20"/>
          <w:szCs w:val="20"/>
        </w:rPr>
        <w:t xml:space="preserve">Drag and drop: </w:t>
      </w:r>
      <w:r>
        <w:rPr>
          <w:rFonts w:ascii="Arial" w:cs="Arial" w:eastAsia="Arial" w:hAnsi="Arial"/>
          <w:color w:val="3D3530"/>
          <w:sz w:val="20"/>
          <w:szCs w:val="20"/>
        </w:rPr>
        <w:t xml:space="preserve">Drag any supported file onto the chat panel.</w:t>
      </w:r>
    </w:p>
    <w:p>
      <w:pPr>
        <w:pStyle w:val="ListParagraph"/>
        <w:numPr>
          <w:ilvl w:val="0"/>
          <w:numId w:val="2"/>
        </w:numPr>
        <w:spacing w:before="30" w:after="60"/>
      </w:pPr>
      <w:r>
        <w:rPr>
          <w:rFonts w:ascii="Arial" w:cs="Arial" w:eastAsia="Arial" w:hAnsi="Arial"/>
          <w:color w:val="3D3530"/>
          <w:sz w:val="20"/>
          <w:szCs w:val="20"/>
        </w:rPr>
        <w:t xml:space="preserve">The same intent popup appears. Choose your analysis mode.</w:t>
      </w:r>
    </w:p>
    <w:p>
      <w:pPr>
        <w:pBdr>
          <w:left w:val="single" w:color="B45309" w:sz="12" w:space="8"/>
        </w:pBdr>
        <w:spacing w:before="80" w:after="80"/>
        <w:ind w:left="440"/>
      </w:pPr>
      <w:r>
        <w:rPr>
          <w:rFonts w:ascii="Arial" w:cs="Arial" w:eastAsia="Arial" w:hAnsi="Arial"/>
          <w:i/>
          <w:iCs/>
          <w:color w:val="8C7B6E"/>
          <w:sz w:val="18"/>
          <w:szCs w:val="18"/>
        </w:rPr>
        <w:t xml:space="preserve">PDF analysis works natively with Claude (the document is sent directly to the API). For other providers, text content is extracted and sent as a prompt — results may vary.</w:t>
      </w:r>
    </w:p>
    <w:p>
      <w:pPr>
        <w:spacing w:before="40" w:after="0"/>
      </w:pPr>
      <w:r>
        <w:t xml:space="preserve"/>
      </w:r>
    </w:p>
    <w:p>
      <w:pPr>
        <w:pStyle w:val="Heading2"/>
        <w:pBdr>
          <w:bottom w:val="single" w:color="2563A8" w:sz="4" w:space="4"/>
        </w:pBdr>
        <w:spacing w:before="280" w:after="80"/>
      </w:pPr>
      <w:r>
        <w:rPr>
          <w:rFonts w:ascii="Georgia" w:cs="Georgia" w:eastAsia="Georgia" w:hAnsi="Georgia"/>
          <w:b/>
          <w:bCs/>
          <w:color w:val="2563A8"/>
          <w:sz w:val="26"/>
          <w:szCs w:val="26"/>
        </w:rPr>
        <w:t xml:space="preserve">Staleness &amp; Validation</w:t>
      </w:r>
    </w:p>
    <w:p>
      <w:pPr>
        <w:spacing w:before="40" w:after="100" w:line="276" w:lineRule="auto"/>
      </w:pPr>
      <w:r>
        <w:rPr>
          <w:rFonts w:ascii="Arial" w:cs="Arial" w:eastAsia="Arial" w:hAnsi="Arial"/>
          <w:color w:val="3D3530"/>
          <w:sz w:val="20"/>
          <w:szCs w:val="20"/>
        </w:rPr>
        <w:t xml:space="preserve">Research on fast-moving topics can become outdated. MyResAssist tracks claim age and helps you identify and address drift.</w:t>
      </w:r>
    </w:p>
    <w:p>
      <w:pPr>
        <w:pStyle w:val="ListParagraph"/>
        <w:numPr>
          <w:ilvl w:val="0"/>
          <w:numId w:val="2"/>
        </w:numPr>
        <w:spacing w:before="30" w:after="60"/>
      </w:pPr>
      <w:r>
        <w:rPr>
          <w:rFonts w:ascii="Arial" w:cs="Arial" w:eastAsia="Arial" w:hAnsi="Arial"/>
          <w:b/>
          <w:bCs/>
          <w:color w:val="1A1612"/>
          <w:sz w:val="20"/>
          <w:szCs w:val="20"/>
        </w:rPr>
        <w:t xml:space="preserve">Age indicator: </w:t>
      </w:r>
      <w:r>
        <w:rPr>
          <w:rFonts w:ascii="Arial" w:cs="Arial" w:eastAsia="Arial" w:hAnsi="Arial"/>
          <w:color w:val="3D3530"/>
          <w:sz w:val="20"/>
          <w:szCs w:val="20"/>
        </w:rPr>
        <w:t xml:space="preserve">Claims older than 30 days show their age in the card header.</w:t>
      </w:r>
    </w:p>
    <w:p>
      <w:pPr>
        <w:pStyle w:val="ListParagraph"/>
        <w:numPr>
          <w:ilvl w:val="0"/>
          <w:numId w:val="2"/>
        </w:numPr>
        <w:spacing w:before="30" w:after="60"/>
      </w:pPr>
      <w:r>
        <w:rPr>
          <w:rFonts w:ascii="Arial" w:cs="Arial" w:eastAsia="Arial" w:hAnsi="Arial"/>
          <w:b/>
          <w:bCs/>
          <w:color w:val="1A1612"/>
          <w:sz w:val="20"/>
          <w:szCs w:val="20"/>
        </w:rPr>
        <w:t xml:space="preserve">Staleness banner: </w:t>
      </w:r>
      <w:r>
        <w:rPr>
          <w:rFonts w:ascii="Arial" w:cs="Arial" w:eastAsia="Arial" w:hAnsi="Arial"/>
          <w:color w:val="3D3530"/>
          <w:sz w:val="20"/>
          <w:szCs w:val="20"/>
        </w:rPr>
        <w:t xml:space="preserve">When stale claims exist, an amber banner appears above the claim list with a claim count.</w:t>
      </w:r>
    </w:p>
    <w:p>
      <w:pPr>
        <w:pStyle w:val="ListParagraph"/>
        <w:numPr>
          <w:ilvl w:val="0"/>
          <w:numId w:val="2"/>
        </w:numPr>
        <w:spacing w:before="30" w:after="60"/>
      </w:pPr>
      <w:r>
        <w:rPr>
          <w:rFonts w:ascii="Arial" w:cs="Arial" w:eastAsia="Arial" w:hAnsi="Arial"/>
          <w:b/>
          <w:bCs/>
          <w:color w:val="1A1612"/>
          <w:sz w:val="20"/>
          <w:szCs w:val="20"/>
        </w:rPr>
        <w:t xml:space="preserve">Validate claims: </w:t>
      </w:r>
      <w:r>
        <w:rPr>
          <w:rFonts w:ascii="Arial" w:cs="Arial" w:eastAsia="Arial" w:hAnsi="Arial"/>
          <w:color w:val="3D3530"/>
          <w:sz w:val="20"/>
          <w:szCs w:val="20"/>
        </w:rPr>
        <w:t xml:space="preserve">Clicking the banner’s “↺ Validate claims” button fires a query for up to 5 stale claims asking the AI whether each is still accurate, has changed, or needs updating. Claims are marked as validated and the banner clears.</w:t>
      </w:r>
    </w:p>
    <w:p>
      <w:pPr>
        <w:pBdr>
          <w:left w:val="single" w:color="B45309" w:sz="12" w:space="8"/>
        </w:pBdr>
        <w:spacing w:before="80" w:after="80"/>
        <w:ind w:left="440"/>
      </w:pPr>
      <w:r>
        <w:rPr>
          <w:rFonts w:ascii="Arial" w:cs="Arial" w:eastAsia="Arial" w:hAnsi="Arial"/>
          <w:i/>
          <w:iCs/>
          <w:color w:val="8C7B6E"/>
          <w:sz w:val="18"/>
          <w:szCs w:val="18"/>
        </w:rPr>
        <w:t xml:space="preserve">Validation is optimistic — claims are marked as reviewed immediately. If the AI surfaces updated information, you can absorb revised claims to replace the old ones.</w:t>
      </w:r>
    </w:p>
    <w:p>
      <w:pPr>
        <w:spacing w:before="40" w:after="0"/>
      </w:pPr>
      <w:r>
        <w:t xml:space="preserve"/>
      </w:r>
    </w:p>
    <w:p>
      <w:pPr>
        <w:pStyle w:val="Heading2"/>
        <w:pBdr>
          <w:bottom w:val="single" w:color="2563A8" w:sz="4" w:space="4"/>
        </w:pBdr>
        <w:spacing w:before="280" w:after="80"/>
      </w:pPr>
      <w:r>
        <w:rPr>
          <w:rFonts w:ascii="Georgia" w:cs="Georgia" w:eastAsia="Georgia" w:hAnsi="Georgia"/>
          <w:b/>
          <w:bCs/>
          <w:color w:val="2563A8"/>
          <w:sz w:val="26"/>
          <w:szCs w:val="26"/>
        </w:rPr>
        <w:t xml:space="preserve">Themes</w:t>
      </w:r>
    </w:p>
    <w:p>
      <w:pPr>
        <w:spacing w:before="40" w:after="100" w:line="276" w:lineRule="auto"/>
      </w:pPr>
      <w:r>
        <w:rPr>
          <w:rFonts w:ascii="Arial" w:cs="Arial" w:eastAsia="Arial" w:hAnsi="Arial"/>
          <w:color w:val="3D3530"/>
          <w:sz w:val="20"/>
          <w:szCs w:val="20"/>
        </w:rPr>
        <w:t xml:space="preserve">Four visual themes are available under Settings → Appearance. The choice persists across sessions.</w:t>
      </w:r>
    </w:p>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8E2D8" w:sz="1"/>
              <w:left w:val="single" w:color="E8E2D8" w:sz="1"/>
              <w:bottom w:val="single" w:color="E8E2D8" w:sz="1"/>
              <w:right w:val="single" w:color="E8E2D8" w:sz="1"/>
            </w:tcBorders>
            <w:shd w:fill="F5F0E8" w:val="clear"/>
            <w:tcMar>
              <w:top w:type="dxa" w:w="80"/>
              <w:left w:type="dxa" w:w="120"/>
              <w:bottom w:type="dxa" w:w="80"/>
              <w:right w:type="dxa" w:w="120"/>
            </w:tcMar>
          </w:tcPr>
          <w:p>
            <w:r>
              <w:rPr>
                <w:rFonts w:ascii="Arial" w:cs="Arial" w:eastAsia="Arial" w:hAnsi="Arial"/>
                <w:b/>
                <w:bCs/>
                <w:color w:val="1A1612"/>
                <w:sz w:val="20"/>
                <w:szCs w:val="20"/>
              </w:rPr>
              <w:t xml:space="preserve">Parchment</w:t>
            </w:r>
          </w:p>
        </w:tc>
        <w:tc>
          <w:tcPr>
            <w:tcW w:type="dxa" w:w="75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Warm cream background with charcoal ink. The default. Lora serif headings.</w:t>
            </w:r>
          </w:p>
        </w:tc>
      </w:tr>
      <w:tr>
        <w:tc>
          <w:tcPr>
            <w:tcW w:type="dxa" w:w="1800"/>
            <w:tcBorders>
              <w:top w:val="single" w:color="E8E2D8" w:sz="1"/>
              <w:left w:val="single" w:color="E8E2D8" w:sz="1"/>
              <w:bottom w:val="single" w:color="E8E2D8" w:sz="1"/>
              <w:right w:val="single" w:color="E8E2D8" w:sz="1"/>
            </w:tcBorders>
            <w:shd w:fill="0E1117" w:val="clear"/>
            <w:tcMar>
              <w:top w:type="dxa" w:w="80"/>
              <w:left w:type="dxa" w:w="120"/>
              <w:bottom w:type="dxa" w:w="80"/>
              <w:right w:type="dxa" w:w="120"/>
            </w:tcMar>
          </w:tcPr>
          <w:p>
            <w:r>
              <w:rPr>
                <w:rFonts w:ascii="Arial" w:cs="Arial" w:eastAsia="Arial" w:hAnsi="Arial"/>
                <w:b/>
                <w:bCs/>
                <w:color w:val="00D4FF"/>
                <w:sz w:val="20"/>
                <w:szCs w:val="20"/>
              </w:rPr>
              <w:t xml:space="preserve">Obsidian</w:t>
            </w:r>
          </w:p>
        </w:tc>
        <w:tc>
          <w:tcPr>
            <w:tcW w:type="dxa" w:w="75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Near-black background with electric cyan accents. Outfit sans headings.</w:t>
            </w:r>
          </w:p>
        </w:tc>
      </w:tr>
      <w:tr>
        <w:tc>
          <w:tcPr>
            <w:tcW w:type="dxa" w:w="1800"/>
            <w:tcBorders>
              <w:top w:val="single" w:color="E8E2D8" w:sz="1"/>
              <w:left w:val="single" w:color="E8E2D8" w:sz="1"/>
              <w:bottom w:val="single" w:color="E8E2D8" w:sz="1"/>
              <w:right w:val="single" w:color="E8E2D8" w:sz="1"/>
            </w:tcBorders>
            <w:shd w:fill="F0F2F5" w:val="clear"/>
            <w:tcMar>
              <w:top w:type="dxa" w:w="80"/>
              <w:left w:type="dxa" w:w="120"/>
              <w:bottom w:type="dxa" w:w="80"/>
              <w:right w:type="dxa" w:w="120"/>
            </w:tcMar>
          </w:tcPr>
          <w:p>
            <w:r>
              <w:rPr>
                <w:rFonts w:ascii="Arial" w:cs="Arial" w:eastAsia="Arial" w:hAnsi="Arial"/>
                <w:b/>
                <w:bCs/>
                <w:color w:val="1A1612"/>
                <w:sz w:val="20"/>
                <w:szCs w:val="20"/>
              </w:rPr>
              <w:t xml:space="preserve">Slate &amp; Bone</w:t>
            </w:r>
          </w:p>
        </w:tc>
        <w:tc>
          <w:tcPr>
            <w:tcW w:type="dxa" w:w="75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Cool off-white with blue-grey tones. IBM Plex Mono headings.</w:t>
            </w:r>
          </w:p>
        </w:tc>
      </w:tr>
      <w:tr>
        <w:tc>
          <w:tcPr>
            <w:tcW w:type="dxa" w:w="1800"/>
            <w:tcBorders>
              <w:top w:val="single" w:color="E8E2D8" w:sz="1"/>
              <w:left w:val="single" w:color="E8E2D8" w:sz="1"/>
              <w:bottom w:val="single" w:color="E8E2D8" w:sz="1"/>
              <w:right w:val="single" w:color="E8E2D8" w:sz="1"/>
            </w:tcBorders>
            <w:shd w:fill="0D1A0F" w:val="clear"/>
            <w:tcMar>
              <w:top w:type="dxa" w:w="80"/>
              <w:left w:type="dxa" w:w="120"/>
              <w:bottom w:type="dxa" w:w="80"/>
              <w:right w:type="dxa" w:w="120"/>
            </w:tcMar>
          </w:tcPr>
          <w:p>
            <w:r>
              <w:rPr>
                <w:rFonts w:ascii="Arial" w:cs="Arial" w:eastAsia="Arial" w:hAnsi="Arial"/>
                <w:b/>
                <w:bCs/>
                <w:color w:val="C8A84A"/>
                <w:sz w:val="20"/>
                <w:szCs w:val="20"/>
              </w:rPr>
              <w:t xml:space="preserve">Forest Codex</w:t>
            </w:r>
          </w:p>
        </w:tc>
        <w:tc>
          <w:tcPr>
            <w:tcW w:type="dxa" w:w="75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Deep green background with aged gold accents. Crimson Pro italic headings.</w:t>
            </w:r>
          </w:p>
        </w:tc>
      </w:tr>
    </w:tbl>
    <w:p>
      <w:pPr>
        <w:spacing w:before="40" w:after="0"/>
      </w:pPr>
      <w:r>
        <w:t xml:space="preserve"/>
      </w:r>
    </w:p>
    <w:p>
      <w:pPr>
        <w:pStyle w:val="Heading2"/>
        <w:pBdr>
          <w:bottom w:val="single" w:color="2563A8" w:sz="4" w:space="4"/>
        </w:pBdr>
        <w:spacing w:before="280" w:after="80"/>
      </w:pPr>
      <w:r>
        <w:rPr>
          <w:rFonts w:ascii="Georgia" w:cs="Georgia" w:eastAsia="Georgia" w:hAnsi="Georgia"/>
          <w:b/>
          <w:bCs/>
          <w:color w:val="2563A8"/>
          <w:sz w:val="26"/>
          <w:szCs w:val="26"/>
        </w:rPr>
        <w:t xml:space="preserve">AI Provider Configuration</w:t>
      </w:r>
    </w:p>
    <w:p>
      <w:pPr>
        <w:spacing w:before="40" w:after="100" w:line="276" w:lineRule="auto"/>
      </w:pPr>
      <w:r>
        <w:rPr>
          <w:rFonts w:ascii="Arial" w:cs="Arial" w:eastAsia="Arial" w:hAnsi="Arial"/>
          <w:color w:val="3D3530"/>
          <w:sz w:val="20"/>
          <w:szCs w:val="20"/>
        </w:rPr>
        <w:t xml:space="preserve">Configure your provider under Settings. All keys are stored locally in your browser only — never sent to any server other than the provider’s own API.</w:t>
      </w:r>
    </w:p>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E8E2D8" w:sz="1"/>
              <w:left w:val="single" w:color="E8E2D8" w:sz="1"/>
              <w:bottom w:val="single" w:color="E8E2D8" w:sz="1"/>
              <w:right w:val="single" w:color="E8E2D8"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400"/>
            <w:tcBorders>
              <w:top w:val="single" w:color="E8E2D8" w:sz="1"/>
              <w:left w:val="single" w:color="E8E2D8" w:sz="1"/>
              <w:bottom w:val="single" w:color="E8E2D8" w:sz="1"/>
              <w:right w:val="single" w:color="E8E2D8"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Recommended model</w:t>
            </w:r>
          </w:p>
        </w:tc>
        <w:tc>
          <w:tcPr>
            <w:tcW w:type="dxa" w:w="5360"/>
            <w:tcBorders>
              <w:top w:val="single" w:color="E8E2D8" w:sz="1"/>
              <w:left w:val="single" w:color="E8E2D8" w:sz="1"/>
              <w:bottom w:val="single" w:color="E8E2D8" w:sz="1"/>
              <w:right w:val="single" w:color="E8E2D8" w:sz="1"/>
            </w:tcBorders>
            <w:shd w:fill="2563A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b/>
                <w:bCs/>
                <w:color w:val="1A1612"/>
                <w:sz w:val="20"/>
                <w:szCs w:val="20"/>
              </w:rPr>
              <w:t xml:space="preserve">Claude</w:t>
            </w:r>
          </w:p>
        </w:tc>
        <w:tc>
          <w:tcPr>
            <w:tcW w:type="dxa" w:w="24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Courier New" w:cs="Courier New" w:eastAsia="Courier New" w:hAnsi="Courier New"/>
                <w:color w:val="2563A8"/>
                <w:sz w:val="18"/>
                <w:szCs w:val="18"/>
              </w:rPr>
              <w:t xml:space="preserve">claude-sonnet-4-6</w:t>
            </w:r>
          </w:p>
        </w:tc>
        <w:tc>
          <w:tcPr>
            <w:tcW w:type="dxa" w:w="53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Best overall. Native PDF support, streaming, web search. Source: anthropic.com</w:t>
            </w:r>
          </w:p>
        </w:tc>
      </w:tr>
      <w:tr>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b/>
                <w:bCs/>
                <w:color w:val="1A1612"/>
                <w:sz w:val="20"/>
                <w:szCs w:val="20"/>
              </w:rPr>
              <w:t xml:space="preserve">OpenAI</w:t>
            </w:r>
          </w:p>
        </w:tc>
        <w:tc>
          <w:tcPr>
            <w:tcW w:type="dxa" w:w="24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Courier New" w:cs="Courier New" w:eastAsia="Courier New" w:hAnsi="Courier New"/>
                <w:color w:val="2563A8"/>
                <w:sz w:val="18"/>
                <w:szCs w:val="18"/>
              </w:rPr>
              <w:t xml:space="preserve">gpt-4o</w:t>
            </w:r>
          </w:p>
        </w:tc>
        <w:tc>
          <w:tcPr>
            <w:tcW w:type="dxa" w:w="53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Full streaming support. Source: platform.openai.com</w:t>
            </w:r>
          </w:p>
        </w:tc>
      </w:tr>
      <w:tr>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b/>
                <w:bCs/>
                <w:color w:val="1A1612"/>
                <w:sz w:val="20"/>
                <w:szCs w:val="20"/>
              </w:rPr>
              <w:t xml:space="preserve">Gemini</w:t>
            </w:r>
          </w:p>
        </w:tc>
        <w:tc>
          <w:tcPr>
            <w:tcW w:type="dxa" w:w="24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Courier New" w:cs="Courier New" w:eastAsia="Courier New" w:hAnsi="Courier New"/>
                <w:color w:val="2563A8"/>
                <w:sz w:val="18"/>
                <w:szCs w:val="18"/>
              </w:rPr>
              <w:t xml:space="preserve">gemini-2.0-flash</w:t>
            </w:r>
          </w:p>
        </w:tc>
        <w:tc>
          <w:tcPr>
            <w:tcW w:type="dxa" w:w="53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Google Search grounding. Source: aistudio.google.com</w:t>
            </w:r>
          </w:p>
        </w:tc>
      </w:tr>
      <w:tr>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b/>
                <w:bCs/>
                <w:color w:val="1A1612"/>
                <w:sz w:val="20"/>
                <w:szCs w:val="20"/>
              </w:rPr>
              <w:t xml:space="preserve">Custom</w:t>
            </w:r>
          </w:p>
        </w:tc>
        <w:tc>
          <w:tcPr>
            <w:tcW w:type="dxa" w:w="24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color w:val="3D3530"/>
                <w:sz w:val="20"/>
                <w:szCs w:val="20"/>
              </w:rPr>
              <w:t xml:space="preserve">Any OpenAI-compatible</w:t>
            </w:r>
          </w:p>
        </w:tc>
        <w:tc>
          <w:tcPr>
            <w:tcW w:type="dxa" w:w="53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Groq, Together, Ollama, etc. Enter endpoint URL, API key, and model name. Supports auto-fetch of available models.</w:t>
            </w:r>
          </w:p>
        </w:tc>
      </w:tr>
    </w:tbl>
    <w:p>
      <w:pPr>
        <w:pBdr>
          <w:left w:val="single" w:color="B45309" w:sz="12" w:space="8"/>
        </w:pBdr>
        <w:spacing w:before="80" w:after="80"/>
        <w:ind w:left="440"/>
      </w:pPr>
      <w:r>
        <w:rPr>
          <w:rFonts w:ascii="Arial" w:cs="Arial" w:eastAsia="Arial" w:hAnsi="Arial"/>
          <w:i/>
          <w:iCs/>
          <w:color w:val="8C7B6E"/>
          <w:sz w:val="18"/>
          <w:szCs w:val="18"/>
        </w:rPr>
        <w:t xml:space="preserve">For large OSS models (e.g. Llama 3.1 405B via Groq), MyResAssist uses a robust JSON parser that handles reasoning preambles, think-tags, flat arrays, and field-name aliases automatically.</w:t>
      </w:r>
    </w:p>
    <w:p>
      <w:pPr>
        <w:spacing w:before="40" w:after="0"/>
      </w:pPr>
      <w:r>
        <w:t xml:space="preserve"/>
      </w:r>
    </w:p>
    <w:p>
      <w:pPr>
        <w:pStyle w:val="Heading2"/>
        <w:pBdr>
          <w:bottom w:val="single" w:color="2563A8" w:sz="4" w:space="4"/>
        </w:pBdr>
        <w:spacing w:before="280" w:after="80"/>
      </w:pPr>
      <w:r>
        <w:rPr>
          <w:rFonts w:ascii="Georgia" w:cs="Georgia" w:eastAsia="Georgia" w:hAnsi="Georgia"/>
          <w:b/>
          <w:bCs/>
          <w:color w:val="2563A8"/>
          <w:sz w:val="26"/>
          <w:szCs w:val="26"/>
        </w:rPr>
        <w:t xml:space="preserve">Keyboard Shortcuts &amp; Mobile</w:t>
      </w:r>
    </w:p>
    <w:p>
      <w:pPr>
        <w:pStyle w:val="ListParagraph"/>
        <w:numPr>
          <w:ilvl w:val="0"/>
          <w:numId w:val="2"/>
        </w:numPr>
        <w:spacing w:before="30" w:after="60"/>
      </w:pPr>
      <w:r>
        <w:rPr>
          <w:rFonts w:ascii="Arial" w:cs="Arial" w:eastAsia="Arial" w:hAnsi="Arial"/>
          <w:b/>
          <w:bCs/>
          <w:color w:val="1A1612"/>
          <w:sz w:val="20"/>
          <w:szCs w:val="20"/>
        </w:rPr>
        <w:t xml:space="preserve">Enter: </w:t>
      </w:r>
      <w:r>
        <w:rPr>
          <w:rFonts w:ascii="Arial" w:cs="Arial" w:eastAsia="Arial" w:hAnsi="Arial"/>
          <w:color w:val="3D3530"/>
          <w:sz w:val="20"/>
          <w:szCs w:val="20"/>
        </w:rPr>
        <w:t xml:space="preserve">Send message.</w:t>
      </w:r>
    </w:p>
    <w:p>
      <w:pPr>
        <w:pStyle w:val="ListParagraph"/>
        <w:numPr>
          <w:ilvl w:val="0"/>
          <w:numId w:val="2"/>
        </w:numPr>
        <w:spacing w:before="30" w:after="60"/>
      </w:pPr>
      <w:r>
        <w:rPr>
          <w:rFonts w:ascii="Arial" w:cs="Arial" w:eastAsia="Arial" w:hAnsi="Arial"/>
          <w:b/>
          <w:bCs/>
          <w:color w:val="1A1612"/>
          <w:sz w:val="20"/>
          <w:szCs w:val="20"/>
        </w:rPr>
        <w:t xml:space="preserve">Shift + Enter: </w:t>
      </w:r>
      <w:r>
        <w:rPr>
          <w:rFonts w:ascii="Arial" w:cs="Arial" w:eastAsia="Arial" w:hAnsi="Arial"/>
          <w:color w:val="3D3530"/>
          <w:sz w:val="20"/>
          <w:szCs w:val="20"/>
        </w:rPr>
        <w:t xml:space="preserve">New line in the message input.</w:t>
      </w:r>
    </w:p>
    <w:p>
      <w:pPr>
        <w:pStyle w:val="ListParagraph"/>
        <w:numPr>
          <w:ilvl w:val="0"/>
          <w:numId w:val="2"/>
        </w:numPr>
        <w:spacing w:before="30" w:after="60"/>
      </w:pPr>
      <w:r>
        <w:rPr>
          <w:rFonts w:ascii="Arial" w:cs="Arial" w:eastAsia="Arial" w:hAnsi="Arial"/>
          <w:b/>
          <w:bCs/>
          <w:color w:val="1A1612"/>
          <w:sz w:val="20"/>
          <w:szCs w:val="20"/>
        </w:rPr>
        <w:t xml:space="preserve">Mobile chat: </w:t>
      </w:r>
      <w:r>
        <w:rPr>
          <w:rFonts w:ascii="Arial" w:cs="Arial" w:eastAsia="Arial" w:hAnsi="Arial"/>
          <w:color w:val="3D3530"/>
          <w:sz w:val="20"/>
          <w:szCs w:val="20"/>
        </w:rPr>
        <w:t xml:space="preserve">Tap the floating 💬 button to open the chat panel as a full-screen overlay. Close with the ✕ button.</w:t>
      </w:r>
    </w:p>
    <w:p>
      <w:pPr>
        <w:pStyle w:val="ListParagraph"/>
        <w:numPr>
          <w:ilvl w:val="0"/>
          <w:numId w:val="2"/>
        </w:numPr>
        <w:spacing w:before="30" w:after="60"/>
      </w:pPr>
      <w:r>
        <w:rPr>
          <w:rFonts w:ascii="Arial" w:cs="Arial" w:eastAsia="Arial" w:hAnsi="Arial"/>
          <w:b/>
          <w:bCs/>
          <w:color w:val="1A1612"/>
          <w:sz w:val="20"/>
          <w:szCs w:val="20"/>
        </w:rPr>
        <w:t xml:space="preserve">Drag and drop: </w:t>
      </w:r>
      <w:r>
        <w:rPr>
          <w:rFonts w:ascii="Arial" w:cs="Arial" w:eastAsia="Arial" w:hAnsi="Arial"/>
          <w:color w:val="3D3530"/>
          <w:sz w:val="20"/>
          <w:szCs w:val="20"/>
        </w:rPr>
        <w:t xml:space="preserve">Drag a PDF or document onto the chat panel on any device that supports it.</w:t>
      </w:r>
    </w:p>
    <w:p>
      <w:pPr>
        <w:spacing w:before="40" w:after="0"/>
      </w:pPr>
      <w:r>
        <w:t xml:space="preserve"/>
      </w:r>
    </w:p>
    <w:p>
      <w:pPr>
        <w:pStyle w:val="Heading2"/>
        <w:pBdr>
          <w:bottom w:val="single" w:color="2563A8" w:sz="4" w:space="4"/>
        </w:pBdr>
        <w:spacing w:before="280" w:after="80"/>
      </w:pPr>
      <w:r>
        <w:rPr>
          <w:rFonts w:ascii="Georgia" w:cs="Georgia" w:eastAsia="Georgia" w:hAnsi="Georgia"/>
          <w:b/>
          <w:bCs/>
          <w:color w:val="2563A8"/>
          <w:sz w:val="26"/>
          <w:szCs w:val="26"/>
        </w:rPr>
        <w:t xml:space="preserve">Technical Notes</w:t>
      </w:r>
    </w:p>
    <w:p>
      <w:pPr>
        <w:pStyle w:val="ListParagraph"/>
        <w:numPr>
          <w:ilvl w:val="0"/>
          <w:numId w:val="2"/>
        </w:numPr>
        <w:spacing w:before="30" w:after="60"/>
      </w:pPr>
      <w:r>
        <w:rPr>
          <w:rFonts w:ascii="Arial" w:cs="Arial" w:eastAsia="Arial" w:hAnsi="Arial"/>
          <w:b/>
          <w:bCs/>
          <w:color w:val="1A1612"/>
          <w:sz w:val="20"/>
          <w:szCs w:val="20"/>
        </w:rPr>
        <w:t xml:space="preserve">Single file: </w:t>
      </w:r>
      <w:r>
        <w:rPr>
          <w:rFonts w:ascii="Arial" w:cs="Arial" w:eastAsia="Arial" w:hAnsi="Arial"/>
          <w:color w:val="3D3530"/>
          <w:sz w:val="20"/>
          <w:szCs w:val="20"/>
        </w:rPr>
        <w:t xml:space="preserve">The entire application is one HTML file (~120 KB). No dependencies, no build step, no server.</w:t>
      </w:r>
    </w:p>
    <w:p>
      <w:pPr>
        <w:pStyle w:val="ListParagraph"/>
        <w:numPr>
          <w:ilvl w:val="0"/>
          <w:numId w:val="2"/>
        </w:numPr>
        <w:spacing w:before="30" w:after="60"/>
      </w:pPr>
      <w:r>
        <w:rPr>
          <w:rFonts w:ascii="Arial" w:cs="Arial" w:eastAsia="Arial" w:hAnsi="Arial"/>
          <w:b/>
          <w:bCs/>
          <w:color w:val="1A1612"/>
          <w:sz w:val="20"/>
          <w:szCs w:val="20"/>
        </w:rPr>
        <w:t xml:space="preserve">Storage: </w:t>
      </w:r>
      <w:r>
        <w:rPr>
          <w:rFonts w:ascii="Arial" w:cs="Arial" w:eastAsia="Arial" w:hAnsi="Arial"/>
          <w:color w:val="3D3530"/>
          <w:sz w:val="20"/>
          <w:szCs w:val="20"/>
        </w:rPr>
        <w:t xml:space="preserve">All data (topics, claims, settings) is stored in your browser’s localStorage under the key </w:t>
      </w:r>
      <w:r>
        <w:rPr>
          <w:rFonts w:ascii="Courier New" w:cs="Courier New" w:eastAsia="Courier New" w:hAnsi="Courier New"/>
          <w:color w:val="2563A8"/>
          <w:sz w:val="18"/>
          <w:szCs w:val="18"/>
        </w:rPr>
        <w:t xml:space="preserve">myresassist_v1</w:t>
      </w:r>
      <w:r>
        <w:rPr>
          <w:rFonts w:ascii="Arial" w:cs="Arial" w:eastAsia="Arial" w:hAnsi="Arial"/>
          <w:color w:val="3D3530"/>
          <w:sz w:val="20"/>
          <w:szCs w:val="20"/>
        </w:rPr>
        <w:t xml:space="preserve">. Nothing leaves your device except API calls to your chosen provider.</w:t>
      </w:r>
    </w:p>
    <w:p>
      <w:pPr>
        <w:pStyle w:val="ListParagraph"/>
        <w:numPr>
          <w:ilvl w:val="0"/>
          <w:numId w:val="2"/>
        </w:numPr>
        <w:spacing w:before="30" w:after="60"/>
      </w:pPr>
      <w:r>
        <w:rPr>
          <w:rFonts w:ascii="Arial" w:cs="Arial" w:eastAsia="Arial" w:hAnsi="Arial"/>
          <w:b/>
          <w:bCs/>
          <w:color w:val="1A1612"/>
          <w:sz w:val="20"/>
          <w:szCs w:val="20"/>
        </w:rPr>
        <w:t xml:space="preserve">API calls: </w:t>
      </w:r>
      <w:r>
        <w:rPr>
          <w:rFonts w:ascii="Arial" w:cs="Arial" w:eastAsia="Arial" w:hAnsi="Arial"/>
          <w:color w:val="3D3530"/>
          <w:sz w:val="20"/>
          <w:szCs w:val="20"/>
        </w:rPr>
        <w:t xml:space="preserve">Made directly from the browser to provider APIs. Keys are never proxied through any intermediary.</w:t>
      </w:r>
    </w:p>
    <w:p>
      <w:pPr>
        <w:pStyle w:val="ListParagraph"/>
        <w:numPr>
          <w:ilvl w:val="0"/>
          <w:numId w:val="2"/>
        </w:numPr>
        <w:spacing w:before="30" w:after="60"/>
      </w:pPr>
      <w:r>
        <w:rPr>
          <w:rFonts w:ascii="Arial" w:cs="Arial" w:eastAsia="Arial" w:hAnsi="Arial"/>
          <w:b/>
          <w:bCs/>
          <w:color w:val="1A1612"/>
          <w:sz w:val="20"/>
          <w:szCs w:val="20"/>
        </w:rPr>
        <w:t xml:space="preserve">Offline: </w:t>
      </w:r>
      <w:r>
        <w:rPr>
          <w:rFonts w:ascii="Arial" w:cs="Arial" w:eastAsia="Arial" w:hAnsi="Arial"/>
          <w:color w:val="3D3530"/>
          <w:sz w:val="20"/>
          <w:szCs w:val="20"/>
        </w:rPr>
        <w:t xml:space="preserve">The app UI loads offline. Sending messages requires an active internet connection to reach your API provider.</w:t>
      </w:r>
    </w:p>
    <w:p>
      <w:pPr>
        <w:pStyle w:val="ListParagraph"/>
        <w:numPr>
          <w:ilvl w:val="0"/>
          <w:numId w:val="2"/>
        </w:numPr>
        <w:spacing w:before="30" w:after="60"/>
      </w:pPr>
      <w:r>
        <w:rPr>
          <w:rFonts w:ascii="Arial" w:cs="Arial" w:eastAsia="Arial" w:hAnsi="Arial"/>
          <w:b/>
          <w:bCs/>
          <w:color w:val="1A1612"/>
          <w:sz w:val="20"/>
          <w:szCs w:val="20"/>
        </w:rPr>
        <w:t xml:space="preserve">OSS model compatibility: </w:t>
      </w:r>
      <w:r>
        <w:rPr>
          <w:rFonts w:ascii="Arial" w:cs="Arial" w:eastAsia="Arial" w:hAnsi="Arial"/>
          <w:color w:val="3D3530"/>
          <w:sz w:val="20"/>
          <w:szCs w:val="20"/>
        </w:rPr>
        <w:t xml:space="preserve">The claim extractor uses a five-step parser: strips reasoning/think-tags, strips markdown fences, finds balanced JSON blocks, normalises shape (object / flat array / nested), and normalises field aliases. Compatible with any OpenAI-format endpoint.</w:t>
      </w:r>
    </w:p>
    <w:p>
      <w:pPr>
        <w:spacing w:before="40" w:after="0"/>
      </w:pPr>
      <w:r>
        <w:t xml:space="preserve"/>
      </w:r>
    </w:p>
    <w:p>
      <w:pPr>
        <w:pStyle w:val="Heading2"/>
        <w:pBdr>
          <w:bottom w:val="single" w:color="2563A8" w:sz="4" w:space="4"/>
        </w:pBdr>
        <w:spacing w:before="280" w:after="80"/>
      </w:pPr>
      <w:r>
        <w:rPr>
          <w:rFonts w:ascii="Georgia" w:cs="Georgia" w:eastAsia="Georgia" w:hAnsi="Georgia"/>
          <w:b/>
          <w:bCs/>
          <w:color w:val="2563A8"/>
          <w:sz w:val="26"/>
          <w:szCs w:val="26"/>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8E2D8" w:sz="1"/>
              <w:left w:val="single" w:color="E8E2D8" w:sz="1"/>
              <w:bottom w:val="single" w:color="E8E2D8" w:sz="1"/>
              <w:right w:val="single" w:color="E8E2D8" w:sz="1"/>
            </w:tcBorders>
            <w:shd w:fill="1A161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160"/>
            <w:tcBorders>
              <w:top w:val="single" w:color="E8E2D8" w:sz="1"/>
              <w:left w:val="single" w:color="E8E2D8" w:sz="1"/>
              <w:bottom w:val="single" w:color="E8E2D8" w:sz="1"/>
              <w:right w:val="single" w:color="E8E2D8" w:sz="1"/>
            </w:tcBorders>
            <w:shd w:fill="1A1612"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b/>
                <w:bCs/>
                <w:color w:val="1A1612"/>
                <w:sz w:val="20"/>
                <w:szCs w:val="20"/>
              </w:rPr>
              <w:t xml:space="preserve">Create a topic</w:t>
            </w:r>
          </w:p>
        </w:tc>
        <w:tc>
          <w:tcPr>
            <w:tcW w:type="dxa" w:w="61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Click the dashed card on the Research Wall</w:t>
            </w:r>
          </w:p>
        </w:tc>
      </w:tr>
      <w:tr>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b/>
                <w:bCs/>
                <w:color w:val="1A1612"/>
                <w:sz w:val="20"/>
                <w:szCs w:val="20"/>
              </w:rPr>
              <w:t xml:space="preserve">Search all research</w:t>
            </w:r>
          </w:p>
        </w:tc>
        <w:tc>
          <w:tcPr>
            <w:tcW w:type="dxa" w:w="61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Type in the search bar below the wall header</w:t>
            </w:r>
          </w:p>
        </w:tc>
      </w:tr>
      <w:tr>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b/>
                <w:bCs/>
                <w:color w:val="1A1612"/>
                <w:sz w:val="20"/>
                <w:szCs w:val="20"/>
              </w:rPr>
              <w:t xml:space="preserve">Archive a topic</w:t>
            </w:r>
          </w:p>
        </w:tc>
        <w:tc>
          <w:tcPr>
            <w:tcW w:type="dxa" w:w="61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Hover card → ⋯ menu → Archive</w:t>
            </w:r>
          </w:p>
        </w:tc>
      </w:tr>
      <w:tr>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b/>
                <w:bCs/>
                <w:color w:val="1A1612"/>
                <w:sz w:val="20"/>
                <w:szCs w:val="20"/>
              </w:rPr>
              <w:t xml:space="preserve">Analyse a URL</w:t>
            </w:r>
          </w:p>
        </w:tc>
        <w:tc>
          <w:tcPr>
            <w:tcW w:type="dxa" w:w="61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Paste URL alone in chat input → Enter → choose intent</w:t>
            </w:r>
          </w:p>
        </w:tc>
      </w:tr>
      <w:tr>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b/>
                <w:bCs/>
                <w:color w:val="1A1612"/>
                <w:sz w:val="20"/>
                <w:szCs w:val="20"/>
              </w:rPr>
              <w:t xml:space="preserve">Analyse a PDF</w:t>
            </w:r>
          </w:p>
        </w:tc>
        <w:tc>
          <w:tcPr>
            <w:tcW w:type="dxa" w:w="61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Click 📎 or drag onto chat panel → choose intent</w:t>
            </w:r>
          </w:p>
        </w:tc>
      </w:tr>
      <w:tr>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b/>
                <w:bCs/>
                <w:color w:val="1A1612"/>
                <w:sz w:val="20"/>
                <w:szCs w:val="20"/>
              </w:rPr>
              <w:t xml:space="preserve">Copy an AI response</w:t>
            </w:r>
          </w:p>
        </w:tc>
        <w:tc>
          <w:tcPr>
            <w:tcW w:type="dxa" w:w="61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Hover response → Copy button</w:t>
            </w:r>
          </w:p>
        </w:tc>
      </w:tr>
      <w:tr>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b/>
                <w:bCs/>
                <w:color w:val="1A1612"/>
                <w:sz w:val="20"/>
                <w:szCs w:val="20"/>
              </w:rPr>
              <w:t xml:space="preserve">Share a response</w:t>
            </w:r>
          </w:p>
        </w:tc>
        <w:tc>
          <w:tcPr>
            <w:tcW w:type="dxa" w:w="61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Hover response → ↗ Share (native share sheet on mobile)</w:t>
            </w:r>
          </w:p>
        </w:tc>
      </w:tr>
      <w:tr>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b/>
                <w:bCs/>
                <w:color w:val="1A1612"/>
                <w:sz w:val="20"/>
                <w:szCs w:val="20"/>
              </w:rPr>
              <w:t xml:space="preserve">Find better sources</w:t>
            </w:r>
          </w:p>
        </w:tc>
        <w:tc>
          <w:tcPr>
            <w:tcW w:type="dxa" w:w="61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Open claim drawer → ↺ Find better sources</w:t>
            </w:r>
          </w:p>
        </w:tc>
      </w:tr>
      <w:tr>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b/>
                <w:bCs/>
                <w:color w:val="1A1612"/>
                <w:sz w:val="20"/>
                <w:szCs w:val="20"/>
              </w:rPr>
              <w:t xml:space="preserve">Validate old claims</w:t>
            </w:r>
          </w:p>
        </w:tc>
        <w:tc>
          <w:tcPr>
            <w:tcW w:type="dxa" w:w="61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Amber banner → ↺ Validate claims</w:t>
            </w:r>
          </w:p>
        </w:tc>
      </w:tr>
      <w:tr>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b/>
                <w:bCs/>
                <w:color w:val="1A1612"/>
                <w:sz w:val="20"/>
                <w:szCs w:val="20"/>
              </w:rPr>
              <w:t xml:space="preserve">See research digest</w:t>
            </w:r>
          </w:p>
        </w:tc>
        <w:tc>
          <w:tcPr>
            <w:tcW w:type="dxa" w:w="61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Filter chips → ⚡ Key Points</w:t>
            </w:r>
          </w:p>
        </w:tc>
      </w:tr>
      <w:tr>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b/>
                <w:bCs/>
                <w:color w:val="1A1612"/>
                <w:sz w:val="20"/>
                <w:szCs w:val="20"/>
              </w:rPr>
              <w:t xml:space="preserve">Sort claims</w:t>
            </w:r>
          </w:p>
        </w:tc>
        <w:tc>
          <w:tcPr>
            <w:tcW w:type="dxa" w:w="61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Sort dropdown in toolbar → Newest / Highest / Lowest</w:t>
            </w:r>
          </w:p>
        </w:tc>
      </w:tr>
      <w:tr>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b/>
                <w:bCs/>
                <w:color w:val="1A1612"/>
                <w:sz w:val="20"/>
                <w:szCs w:val="20"/>
              </w:rPr>
              <w:t xml:space="preserve">Export topic</w:t>
            </w:r>
          </w:p>
        </w:tc>
        <w:tc>
          <w:tcPr>
            <w:tcW w:type="dxa" w:w="61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 Export button → Plain text or Markdown</w:t>
            </w:r>
          </w:p>
        </w:tc>
      </w:tr>
      <w:tr>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b/>
                <w:bCs/>
                <w:color w:val="1A1612"/>
                <w:sz w:val="20"/>
                <w:szCs w:val="20"/>
              </w:rPr>
              <w:t xml:space="preserve">Backup all data</w:t>
            </w:r>
          </w:p>
        </w:tc>
        <w:tc>
          <w:tcPr>
            <w:tcW w:type="dxa" w:w="61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Settings → Data → ↓ Export backup</w:t>
            </w:r>
          </w:p>
        </w:tc>
      </w:tr>
      <w:tr>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b/>
                <w:bCs/>
                <w:color w:val="1A1612"/>
                <w:sz w:val="20"/>
                <w:szCs w:val="20"/>
              </w:rPr>
              <w:t xml:space="preserve">Restore backup</w:t>
            </w:r>
          </w:p>
        </w:tc>
        <w:tc>
          <w:tcPr>
            <w:tcW w:type="dxa" w:w="61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Settings → Data → ↑ Import backup</w:t>
            </w:r>
          </w:p>
        </w:tc>
      </w:tr>
      <w:tr>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b/>
                <w:bCs/>
                <w:color w:val="1A1612"/>
                <w:sz w:val="20"/>
                <w:szCs w:val="20"/>
              </w:rPr>
              <w:t xml:space="preserve">Change theme</w:t>
            </w:r>
          </w:p>
        </w:tc>
        <w:tc>
          <w:tcPr>
            <w:tcW w:type="dxa" w:w="6160"/>
            <w:tcBorders>
              <w:top w:val="single" w:color="E8E2D8" w:sz="1"/>
              <w:left w:val="single" w:color="E8E2D8" w:sz="1"/>
              <w:bottom w:val="single" w:color="E8E2D8" w:sz="1"/>
              <w:right w:val="single" w:color="E8E2D8" w:sz="1"/>
            </w:tcBorders>
            <w:tcMar>
              <w:top w:type="dxa" w:w="80"/>
              <w:left w:type="dxa" w:w="120"/>
              <w:bottom w:type="dxa" w:w="80"/>
              <w:right w:type="dxa" w:w="120"/>
            </w:tcMar>
          </w:tcPr>
          <w:p>
            <w:pPr>
              <w:spacing w:before="40" w:after="100" w:line="276" w:lineRule="auto"/>
            </w:pPr>
            <w:r>
              <w:rPr>
                <w:rFonts w:ascii="Arial" w:cs="Arial" w:eastAsia="Arial" w:hAnsi="Arial"/>
                <w:color w:val="3D3530"/>
                <w:sz w:val="20"/>
                <w:szCs w:val="20"/>
              </w:rPr>
              <w:t xml:space="preserve">Settings → Appearance → choose theme</w:t>
            </w:r>
          </w:p>
        </w:tc>
      </w:tr>
    </w:tbl>
    <w:p>
      <w:pPr>
        <w:spacing w:before="80" w:after="0"/>
      </w:pPr>
      <w:r>
        <w:t xml:space="preserve"/>
      </w:r>
    </w:p>
    <w:p>
      <w:pPr>
        <w:pBdr>
          <w:top w:val="single" w:color="E8E2D8" w:sz="4" w:space="6"/>
        </w:pBdr>
        <w:spacing w:before="80" w:after="40"/>
      </w:pPr>
      <w:r>
        <w:rPr>
          <w:rFonts w:ascii="Arial" w:cs="Arial" w:eastAsia="Arial" w:hAnsi="Arial"/>
          <w:i/>
          <w:iCs/>
          <w:color w:val="8C7B6E"/>
          <w:sz w:val="16"/>
          <w:szCs w:val="16"/>
        </w:rPr>
        <w:t xml:space="preserve">MyResAssist v2.0  —  github.com/abhishek-sinha-bgl/MyResAssist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2D8" w:sz="4" w:space="4"/>
      </w:pBdr>
      <w:spacing w:before="80"/>
      <w:jc w:val="right"/>
    </w:pPr>
    <w:r>
      <w:rPr>
        <w:rFonts w:ascii="Arial" w:cs="Arial" w:eastAsia="Arial" w:hAnsi="Arial"/>
        <w:color w:val="8C7B6E"/>
        <w:sz w:val="16"/>
        <w:szCs w:val="16"/>
      </w:rPr>
      <w:t xml:space="preserve">Page </w:t>
    </w:r>
    <w:r>
      <w:rPr>
        <w:rFonts w:ascii="Arial" w:cs="Arial" w:eastAsia="Arial" w:hAnsi="Arial"/>
        <w:color w:val="8C7B6E"/>
        <w:sz w:val="16"/>
        <w:szCs w:val="16"/>
      </w:rPr>
      <w:fldChar w:fldCharType="begin"/>
      <w:instrText xml:space="preserve">PAGE</w:instrText>
      <w:fldChar w:fldCharType="separate"/>
      <w:fldChar w:fldCharType="end"/>
    </w:r>
    <w:r>
      <w:rPr>
        <w:rFonts w:ascii="Arial" w:cs="Arial" w:eastAsia="Arial" w:hAnsi="Arial"/>
        <w:color w:val="8C7B6E"/>
        <w:sz w:val="16"/>
        <w:szCs w:val="16"/>
      </w:rPr>
      <w:t xml:space="preserve"> of </w:t>
    </w:r>
    <w:r>
      <w:rPr>
        <w:rFonts w:ascii="Arial" w:cs="Arial" w:eastAsia="Arial" w:hAnsi="Arial"/>
        <w:color w:val="8C7B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4"/>
      </w:pBdr>
      <w:spacing w:after="120"/>
    </w:pPr>
    <w:r>
      <w:rPr>
        <w:rFonts w:ascii="Georgia" w:cs="Georgia" w:eastAsia="Georgia" w:hAnsi="Georgia"/>
        <w:b/>
        <w:bCs/>
        <w:color w:val="2563A8"/>
        <w:sz w:val="20"/>
        <w:szCs w:val="20"/>
      </w:rPr>
      <w:t xml:space="preserve">MyResAssist</w:t>
    </w:r>
    <w:r>
      <w:rPr>
        <w:rFonts w:ascii="Arial" w:cs="Arial" w:eastAsia="Arial" w:hAnsi="Arial"/>
        <w:color w:val="8C7B6E"/>
        <w:sz w:val="18"/>
        <w:szCs w:val="18"/>
      </w:rPr>
      <w:t xml:space="preserve">  —  research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eorgia" w:cs="Georgia" w:eastAsia="Georgia" w:hAnsi="Georgia"/>
      <w:b/>
      <w:bCs/>
      <w:sz w:val="36"/>
      <w:szCs w:val="36"/>
    </w:rPr>
  </w:style>
  <w:style w:type="paragraph" w:styleId="Heading2">
    <w:name w:val="Heading 2"/>
    <w:basedOn w:val="Normal"/>
    <w:next w:val="Normal"/>
    <w:qFormat/>
    <w:pPr>
      <w:spacing w:before="280" w:after="80"/>
      <w:outlineLvl w:val="1"/>
    </w:pPr>
    <w:rPr>
      <w:rFonts w:ascii="Georgia" w:cs="Georgia" w:eastAsia="Georgia" w:hAnsi="Georgia"/>
      <w:b/>
      <w:bCs/>
      <w:sz w:val="26"/>
      <w:szCs w:val="26"/>
    </w:rPr>
  </w:style>
  <w:style w:type="paragraph" w:styleId="Heading3">
    <w:name w:val="Heading 3"/>
    <w:basedOn w:val="Normal"/>
    <w:next w:val="Normal"/>
    <w:qFormat/>
    <w:pPr>
      <w:spacing w:before="20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2026-03-09T05:44:03.948Z</dcterms:created>
  <dcterms:modified xsi:type="dcterms:W3CDTF">2026-03-09T05:44:03.949Z</dcterms:modified>
</cp:coreProperties>
</file>

<file path=docProps/custom.xml><?xml version="1.0" encoding="utf-8"?>
<Properties xmlns="http://schemas.openxmlformats.org/officeDocument/2006/custom-properties" xmlns:vt="http://schemas.openxmlformats.org/officeDocument/2006/docPropsVTypes"/>
</file>