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spacing w:line="259"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2">
      <w:pPr>
        <w:widowControl w:val="1"/>
        <w:spacing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Data Collection and Preprocessing Phase</w:t>
      </w:r>
      <w:r w:rsidDel="00000000" w:rsidR="00000000" w:rsidRPr="00000000">
        <w:rPr>
          <w:rtl w:val="0"/>
        </w:rPr>
      </w:r>
    </w:p>
    <w:p w:rsidR="00000000" w:rsidDel="00000000" w:rsidP="00000000" w:rsidRDefault="00000000" w:rsidRPr="00000000" w14:paraId="00000003">
      <w:pPr>
        <w:widowControl w:val="1"/>
        <w:spacing w:after="160" w:line="259" w:lineRule="auto"/>
        <w:rPr>
          <w:rFonts w:ascii="Times New Roman" w:cs="Times New Roman" w:eastAsia="Times New Roman" w:hAnsi="Times New Roman"/>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04">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shd w:fill="auto" w:val="clear"/>
            <w:tcMar>
              <w:top w:w="100.0" w:type="dxa"/>
              <w:left w:w="100.0" w:type="dxa"/>
              <w:bottom w:w="100.0" w:type="dxa"/>
              <w:right w:w="100.0" w:type="dxa"/>
            </w:tcMar>
          </w:tcPr>
          <w:p>
            <w:r>
              <w:t>25 September 2026</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06">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ID</w:t>
            </w:r>
          </w:p>
        </w:tc>
        <w:tc>
          <w:tcPr>
            <w:shd w:fill="auto" w:val="clear"/>
            <w:tcMar>
              <w:top w:w="100.0" w:type="dxa"/>
              <w:left w:w="100.0" w:type="dxa"/>
              <w:bottom w:w="100.0" w:type="dxa"/>
              <w:right w:w="100.0" w:type="dxa"/>
            </w:tcMar>
          </w:tcPr>
          <w:p>
            <w:r>
              <w:t>N/A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08">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Title</w:t>
            </w:r>
          </w:p>
        </w:tc>
        <w:tc>
          <w:tcPr>
            <w:shd w:fill="auto" w:val="clear"/>
            <w:tcMar>
              <w:top w:w="100.0" w:type="dxa"/>
              <w:left w:w="100.0" w:type="dxa"/>
              <w:bottom w:w="100.0" w:type="dxa"/>
              <w:right w:w="100.0" w:type="dxa"/>
            </w:tcMar>
          </w:tcPr>
          <w:p>
            <w:r>
              <w:t>India's Agricultural Crop Production Analysis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0A">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Maximum Marks</w:t>
            </w:r>
          </w:p>
        </w:tc>
        <w:tc>
          <w:tcPr>
            <w:shd w:fill="auto" w:val="clear"/>
            <w:tcMar>
              <w:top w:w="100.0" w:type="dxa"/>
              <w:left w:w="100.0" w:type="dxa"/>
              <w:bottom w:w="100.0" w:type="dxa"/>
              <w:right w:w="100.0" w:type="dxa"/>
            </w:tcMar>
          </w:tcPr>
          <w:p>
            <w:r>
              <w:t>10 Marks</w:t>
            </w:r>
          </w:p>
        </w:tc>
      </w:tr>
    </w:tbl>
    <w:p w:rsidR="00000000" w:rsidDel="00000000" w:rsidP="00000000" w:rsidRDefault="00000000" w:rsidRPr="00000000" w14:paraId="0000000C">
      <w:pPr>
        <w:widowControl w:val="1"/>
        <w:spacing w:after="16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widowControl w:val="1"/>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Exploration and Preprocessing Template</w:t>
      </w:r>
    </w:p>
    <w:p w:rsidR="00000000" w:rsidDel="00000000" w:rsidP="00000000" w:rsidRDefault="00000000" w:rsidRPr="00000000" w14:paraId="0000000E">
      <w:pPr>
        <w:widowControl w:val="1"/>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Identifies data sources, assesses quality issues like missing values and duplicates, and implements resolution plans to ensure accurate and reliable analysis.</w:t>
      </w:r>
    </w:p>
    <w:p w:rsidR="00000000" w:rsidDel="00000000" w:rsidP="00000000" w:rsidRDefault="00000000" w:rsidRPr="00000000" w14:paraId="0000000F">
      <w:pPr>
        <w:widowControl w:val="1"/>
        <w:spacing w:after="160" w:line="259" w:lineRule="auto"/>
        <w:rPr>
          <w:rFonts w:ascii="Times New Roman" w:cs="Times New Roman" w:eastAsia="Times New Roman" w:hAnsi="Times New Roman"/>
        </w:rPr>
      </w:pPr>
      <w:r w:rsidDel="00000000" w:rsidR="00000000" w:rsidRPr="00000000">
        <w:rPr>
          <w:rtl w:val="0"/>
        </w:rPr>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4"/>
        <w:gridCol w:w="6356"/>
        <w:tblGridChange w:id="0">
          <w:tblGrid>
            <w:gridCol w:w="3004"/>
            <w:gridCol w:w="6356"/>
          </w:tblGrid>
        </w:tblGridChange>
      </w:tblGrid>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bottom"/>
          </w:tcPr>
          <w:p w:rsidR="00000000" w:rsidDel="00000000" w:rsidP="00000000" w:rsidRDefault="00000000" w:rsidRPr="00000000" w14:paraId="0000001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Section</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bottom"/>
          </w:tcPr>
          <w:p w:rsidR="00000000" w:rsidDel="00000000" w:rsidP="00000000" w:rsidRDefault="00000000" w:rsidRPr="00000000" w14:paraId="0000001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rHeight w:val="6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Overview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
              <w:t>The SkillWallet-provided agricultural dataset contains approximately 345,408 rows and 10 columns, covering Indian states, districts, crops, agricultural years, seasons, cultivated area, production, production units, and yield. The data spans 1997-98 to 2020-21 and is used for Tableau-based agricultural analysis.</w:t>
            </w:r>
          </w:p>
        </w:tc>
      </w:tr>
      <w:tr>
        <w:trPr>
          <w:cantSplit w:val="0"/>
          <w:trHeight w:val="6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Cleaning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
              <w:t>The dataset was checked for missing/blank values, duplicate records, negative values, and zero-production records. No blank/null cells or negative area/production values were identified. Zero-production records were retained because they are valid observations. Text fields were standardized, including changing the leading-space field name ' season' to 'Season'.</w:t>
            </w:r>
          </w:p>
        </w:tc>
      </w:tr>
      <w:tr>
        <w:trPr>
          <w:cantSplit w:val="0"/>
          <w:trHeight w:val="6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Transformation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
              <w:t>The data was organized for Tableau analysis by filtering and sorting fields as required for visualizations. The production-unit field was used to distinguish Tonnes, Bales, and Nuts. The existing production, area, and yield fields were used to create KPI cards, trends, maps, treemaps, packed bubbles, and pie charts.</w:t>
            </w:r>
          </w:p>
        </w:tc>
      </w:tr>
      <w:tr>
        <w:trPr>
          <w:cantSplit w:val="0"/>
          <w:trHeight w:val="6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Type Conversion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
              <w:t>State, District, Crop, Season, Area Units, and Production Units were treated as text fields. Area, Production, and Yield were converted/kept as numeric fields. Year was retained as a text field because it represents agricultural years such as 1997-98 and 2020-21.</w:t>
            </w:r>
          </w:p>
        </w:tc>
      </w:tr>
      <w:tr>
        <w:trPr>
          <w:cantSplit w:val="0"/>
          <w:trHeight w:val="6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Column Splitting and Merging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
              <w:t>No major column splitting or merging was required. The field named 'Production Units.1' was renamed to 'Yield' after validating that its values represented production per unit area. The field ' season' was renamed to 'Season' for consistent field naming.</w:t>
            </w:r>
          </w:p>
        </w:tc>
      </w:tr>
      <w:tr>
        <w:trPr>
          <w:cantSplit w:val="0"/>
          <w:trHeight w:val="6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Modeling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
              <w:t>The project uses a single agricultural dataset, so no relationships between multiple tables were required. Tableau aggregations and calculated analysis fields were used to support measures such as total production and total yield and to build the required visualizations.</w:t>
            </w:r>
          </w:p>
        </w:tc>
      </w:tr>
      <w:tr>
        <w:trPr>
          <w:cantSplit w:val="0"/>
          <w:trHeight w:val="6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 Processed 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
              <w:t>The cleaned dataset and Tableau workbook were saved for further analysis. The processed data was used to create the final Tableau dashboard and a single Tableau story containing eight story points, and the workbook was published to Tableau Public.</w:t>
            </w:r>
          </w:p>
        </w:tc>
      </w:tr>
    </w:tbl>
    <w:p w:rsidR="00000000" w:rsidDel="00000000" w:rsidP="00000000" w:rsidRDefault="00000000" w:rsidRPr="00000000" w14:paraId="00000020">
      <w:pPr>
        <w:widowControl w:val="1"/>
        <w:spacing w:after="160" w:line="259" w:lineRule="auto"/>
        <w:rPr>
          <w:rFonts w:ascii="Times New Roman" w:cs="Times New Roman" w:eastAsia="Times New Roman" w:hAnsi="Times New Roman"/>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jc w:val="both"/>
      <w:rPr/>
    </w:pPr>
    <w:r w:rsidDel="00000000" w:rsidR="00000000" w:rsidRPr="00000000">
      <w:rPr/>
      <w:drawing>
        <wp:anchor allowOverlap="1" behindDoc="0" distB="114300" distT="114300" distL="114300" distR="114300" hidden="0" layoutInCell="1" locked="0" relativeHeight="0" simplePos="0">
          <wp:simplePos x="0" y="0"/>
          <wp:positionH relativeFrom="page">
            <wp:posOffset>76200</wp:posOffset>
          </wp:positionH>
          <wp:positionV relativeFrom="page">
            <wp:posOffset>57150</wp:posOffset>
          </wp:positionV>
          <wp:extent cx="1376363" cy="589870"/>
          <wp:effectExtent b="0" l="0" r="0" t="0"/>
          <wp:wrapNone/>
          <wp:docPr id="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376363" cy="589870"/>
                  </a:xfrm>
                  <a:prstGeom prst="rect"/>
                  <a:ln/>
                </pic:spPr>
              </pic:pic>
            </a:graphicData>
          </a:graphic>
        </wp:anchor>
      </w:drawing>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189" w:lineRule="auto"/>
      <w:ind w:left="4573" w:right="5380"/>
      <w:jc w:val="center"/>
    </w:pPr>
    <w:rPr>
      <w:b w:val="1"/>
      <w:bCs w:val="1"/>
      <w:sz w:val="32"/>
      <w:szCs w:val="32"/>
      <w:u w:val="single"/>
    </w:rPr>
  </w:style>
  <w:style w:type="paragraph" w:styleId="Heading2">
    <w:name w:val="heading 2"/>
    <w:basedOn w:val="Normal"/>
    <w:next w:val="Normal"/>
    <w:pPr>
      <w:ind w:left="1375"/>
    </w:pPr>
    <w:rPr>
      <w:b w:val="1"/>
      <w:bCs w:val="1"/>
      <w:sz w:val="24"/>
      <w:szCs w:val="24"/>
    </w:rPr>
  </w:style>
  <w:style w:type="paragraph" w:styleId="Heading3">
    <w:name w:val="heading 3"/>
    <w:basedOn w:val="Normal"/>
    <w:next w:val="Normal"/>
    <w:pPr>
      <w:ind w:left="1375"/>
    </w:pPr>
    <w:rPr>
      <w:b w:val="1"/>
      <w:bCs w:val="1"/>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evUUQCZ/muBolVOBux4R6UwRmw==">CgMxLjA4AHIhMXloRUhHdWNtWG5kT3JKZkw3ejdEdDBVaFpNLVdLVjVF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2024-10-16T03:59:00Z</dcterms:created>
</cp:coreProperties>
</file>