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783"/>
        <w:gridCol w:w="3969"/>
      </w:tblGrid>
      <w:tr>
        <w:tc>
          <w:tcPr>
            <w:tcW w:type="dxa" w:w="5074"/>
            <w:shd w:fill="5A0F1A"/>
            <w:tcMar>
              <w:top w:w="140" w:type="dxa"/>
              <w:start w:w="160" w:type="dxa"/>
              <w:bottom w:w="140" w:type="dxa"/>
              <w:end w:w="160" w:type="dxa"/>
            </w:tcMar>
            <w:tcBorders>
              <w:top w:val="nil"/>
              <w:left w:val="nil"/>
              <w:bottom w:val="nil"/>
              <w:right w:val="nil"/>
            </w:tcBorders>
          </w:tcPr>
          <w:p>
            <w:pPr>
              <w:spacing w:before="0" w:after="0" w:line="269" w:lineRule="auto"/>
            </w:pPr>
            <w:r>
              <w:rPr>
                <w:rFonts w:ascii="Inter Display" w:hAnsi="Inter Display" w:eastAsia="Inter Display"/>
                <w:b/>
                <w:color w:val="FFFFFF"/>
                <w:sz w:val="24"/>
              </w:rPr>
              <w:t>ARIDENTRIS</w:t>
            </w:r>
          </w:p>
        </w:tc>
        <w:tc>
          <w:tcPr>
            <w:tcW w:type="dxa" w:w="5074"/>
            <w:shd w:fill="5A0F1A"/>
            <w:tcMar>
              <w:top w:w="140" w:type="dxa"/>
              <w:start w:w="160" w:type="dxa"/>
              <w:bottom w:w="140" w:type="dxa"/>
              <w:end w:w="160" w:type="dxa"/>
            </w:tcMar>
            <w:tcBorders>
              <w:top w:val="nil"/>
              <w:left w:val="nil"/>
              <w:bottom w:val="nil"/>
              <w:right w:val="nil"/>
            </w:tcBorders>
          </w:tcPr>
          <w:p>
            <w:pPr>
              <w:spacing w:before="0" w:after="0" w:line="269" w:lineRule="auto"/>
              <w:jc w:val="right"/>
            </w:pPr>
            <w:r>
              <w:rPr>
                <w:rFonts w:ascii="Inter" w:hAnsi="Inter" w:eastAsia="Inter"/>
                <w:b/>
                <w:color w:val="EACED2"/>
                <w:sz w:val="16"/>
              </w:rPr>
              <w:t>PRODUCT BLUEPRINT</w:t>
            </w:r>
          </w:p>
        </w:tc>
      </w:tr>
    </w:tbl>
    <w:p>
      <w:pPr>
        <w:spacing w:before="0" w:after="0" w:line="269" w:lineRule="auto"/>
      </w:pPr>
    </w:p>
    <w:p>
      <w:pPr>
        <w:spacing w:before="0" w:after="0" w:line="269" w:lineRule="auto"/>
      </w:pPr>
    </w:p>
    <w:p>
      <w:pPr>
        <w:spacing w:before="0" w:after="0" w:line="269" w:lineRule="auto"/>
      </w:pPr>
    </w:p>
    <w:p>
      <w:pPr>
        <w:spacing w:before="0" w:after="0" w:line="269" w:lineRule="auto"/>
      </w:pPr>
      <w:r>
        <w:rPr>
          <w:rFonts w:ascii="Inter Display" w:hAnsi="Inter Display" w:eastAsia="Inter Display"/>
          <w:b/>
          <w:color w:val="5A0F1A"/>
          <w:sz w:val="76"/>
        </w:rPr>
        <w:t>Arident</w:t>
      </w:r>
      <w:r>
        <w:rPr>
          <w:rFonts w:ascii="Inter Display" w:hAnsi="Inter Display" w:eastAsia="Inter Display"/>
          <w:b/>
          <w:color w:val="B87333"/>
          <w:sz w:val="76"/>
        </w:rPr>
        <w:t>Flow</w:t>
      </w:r>
    </w:p>
    <w:p>
      <w:pPr>
        <w:spacing w:before="80" w:after="280" w:line="269" w:lineRule="auto"/>
      </w:pPr>
      <w:r>
        <w:rPr>
          <w:rFonts w:ascii="Inter Display" w:hAnsi="Inter Display" w:eastAsia="Inter Display"/>
          <w:b/>
          <w:color w:val="20242A"/>
          <w:sz w:val="38"/>
        </w:rPr>
        <w:t>Project Definition Document</w:t>
      </w:r>
    </w:p>
    <w:p>
      <w:pPr>
        <w:spacing w:before="0" w:after="180" w:line="269" w:lineRule="auto"/>
      </w:pPr>
      <w:r>
        <w:rPr>
          <w:rFonts w:ascii="Inter" w:hAnsi="Inter" w:eastAsia="Inter"/>
          <w:color w:val="475467"/>
          <w:sz w:val="22"/>
        </w:rPr>
        <w:t>Business Process Simulation &amp; Optimization Studio</w:t>
      </w:r>
    </w:p>
    <w:p>
      <w:pPr>
        <w:spacing w:before="80" w:after="240" w:line="269" w:lineRule="auto"/>
        <w:pBdr>
          <w:bottom w:val="single" w:sz="18" w:space="1" w:color="B87333"/>
        </w:pBdr>
      </w:pPr>
    </w:p>
    <w:p>
      <w:pPr>
        <w:spacing w:before="0" w:after="60" w:line="269" w:lineRule="auto"/>
      </w:pPr>
      <w:r>
        <w:rPr>
          <w:rFonts w:ascii="Inter" w:hAnsi="Inter" w:eastAsia="Inter"/>
          <w:b/>
          <w:color w:val="7B0F22"/>
          <w:sz w:val="19"/>
        </w:rPr>
        <w:t>MODEL. SIMULATE. IMPROVE.</w:t>
      </w:r>
    </w:p>
    <w:p>
      <w:pPr>
        <w:spacing w:before="0" w:after="440" w:line="269" w:lineRule="auto"/>
      </w:pPr>
      <w:r>
        <w:rPr>
          <w:rFonts w:ascii="Inter" w:hAnsi="Inter" w:eastAsia="Inter"/>
          <w:color w:val="20242A"/>
          <w:sz w:val="22"/>
        </w:rPr>
        <w:t>A local-first product blueprint for turning process assumptions into measurable operational decisions.</w:t>
      </w:r>
    </w:p>
    <w:tbl>
      <w:tblPr>
        <w:tblW w:type="auto" w:w="0"/>
        <w:jc w:val="center"/>
        <w:tblLook w:firstColumn="1" w:firstRow="1" w:lastColumn="0" w:lastRow="0" w:noHBand="0" w:noVBand="1" w:val="04A0"/>
      </w:tblPr>
      <w:tblGrid>
        <w:gridCol w:w="3383"/>
        <w:gridCol w:w="3383"/>
        <w:gridCol w:w="3383"/>
      </w:tblGrid>
      <w:tr>
        <w:tc>
          <w:tcPr>
            <w:tcW w:type="dxa" w:w="3383"/>
            <w:tcBorders>
              <w:top w:val="single" w:sz="4" w:color="D8D1D0"/>
              <w:left w:val="single" w:sz="4" w:color="D8D1D0"/>
              <w:bottom w:val="single" w:sz="4" w:color="D8D1D0"/>
              <w:right w:val="single" w:sz="4" w:color="D8D1D0"/>
            </w:tcBorders>
            <w:shd w:fill="F7F2F1"/>
            <w:tcMar>
              <w:top w:w="135" w:type="dxa"/>
              <w:start w:w="130" w:type="dxa"/>
              <w:bottom w:w="135" w:type="dxa"/>
              <w:end w:w="130" w:type="dxa"/>
            </w:tcMar>
          </w:tcPr>
          <w:p>
            <w:pPr>
              <w:spacing w:before="0" w:after="60" w:line="269" w:lineRule="auto"/>
            </w:pPr>
            <w:r>
              <w:rPr>
                <w:rFonts w:ascii="Inter" w:hAnsi="Inter" w:eastAsia="Inter"/>
                <w:b/>
                <w:color w:val="5A0F1A"/>
                <w:sz w:val="15"/>
              </w:rPr>
              <w:t>PRIVATE BY DEFAULT</w:t>
            </w:r>
          </w:p>
          <w:p>
            <w:pPr>
              <w:spacing w:before="0" w:after="0" w:line="250" w:lineRule="auto"/>
            </w:pPr>
            <w:r>
              <w:rPr>
                <w:rFonts w:ascii="Inter" w:hAnsi="Inter" w:eastAsia="Inter"/>
                <w:color w:val="475467"/>
                <w:sz w:val="16"/>
              </w:rPr>
              <w:t>Core project data remains in the browser.</w:t>
            </w:r>
          </w:p>
        </w:tc>
        <w:tc>
          <w:tcPr>
            <w:tcW w:type="dxa" w:w="3383"/>
            <w:tcBorders>
              <w:top w:val="single" w:sz="4" w:color="D8D1D0"/>
              <w:left w:val="single" w:sz="4" w:color="D8D1D0"/>
              <w:bottom w:val="single" w:sz="4" w:color="D8D1D0"/>
              <w:right w:val="single" w:sz="4" w:color="D8D1D0"/>
            </w:tcBorders>
            <w:shd w:fill="F7F2F1"/>
            <w:tcMar>
              <w:top w:w="135" w:type="dxa"/>
              <w:start w:w="130" w:type="dxa"/>
              <w:bottom w:w="135" w:type="dxa"/>
              <w:end w:w="130" w:type="dxa"/>
            </w:tcMar>
          </w:tcPr>
          <w:p>
            <w:pPr>
              <w:spacing w:before="0" w:after="60" w:line="269" w:lineRule="auto"/>
            </w:pPr>
            <w:r>
              <w:rPr>
                <w:rFonts w:ascii="Inter" w:hAnsi="Inter" w:eastAsia="Inter"/>
                <w:b/>
                <w:color w:val="5A0F1A"/>
                <w:sz w:val="15"/>
              </w:rPr>
              <w:t>DECISION-ORIENTED</w:t>
            </w:r>
          </w:p>
          <w:p>
            <w:pPr>
              <w:spacing w:before="0" w:after="0" w:line="250" w:lineRule="auto"/>
            </w:pPr>
            <w:r>
              <w:rPr>
                <w:rFonts w:ascii="Inter" w:hAnsi="Inter" w:eastAsia="Inter"/>
                <w:color w:val="475467"/>
                <w:sz w:val="16"/>
              </w:rPr>
              <w:t>Insights explain what changes and why it matters.</w:t>
            </w:r>
          </w:p>
        </w:tc>
        <w:tc>
          <w:tcPr>
            <w:tcW w:type="dxa" w:w="3383"/>
            <w:tcBorders>
              <w:top w:val="single" w:sz="4" w:color="D8D1D0"/>
              <w:left w:val="single" w:sz="4" w:color="D8D1D0"/>
              <w:bottom w:val="single" w:sz="4" w:color="D8D1D0"/>
              <w:right w:val="single" w:sz="4" w:color="D8D1D0"/>
            </w:tcBorders>
            <w:shd w:fill="FBF7EE"/>
            <w:tcMar>
              <w:top w:w="135" w:type="dxa"/>
              <w:start w:w="130" w:type="dxa"/>
              <w:bottom w:w="135" w:type="dxa"/>
              <w:end w:w="130" w:type="dxa"/>
            </w:tcMar>
          </w:tcPr>
          <w:p>
            <w:pPr>
              <w:spacing w:before="0" w:after="60" w:line="269" w:lineRule="auto"/>
            </w:pPr>
            <w:r>
              <w:rPr>
                <w:rFonts w:ascii="Inter" w:hAnsi="Inter" w:eastAsia="Inter"/>
                <w:b/>
                <w:color w:val="5A0F1A"/>
                <w:sz w:val="15"/>
              </w:rPr>
              <w:t>ENGINEERED TO SCALE</w:t>
            </w:r>
          </w:p>
          <w:p>
            <w:pPr>
              <w:spacing w:before="0" w:after="0" w:line="250" w:lineRule="auto"/>
            </w:pPr>
            <w:r>
              <w:rPr>
                <w:rFonts w:ascii="Inter" w:hAnsi="Inter" w:eastAsia="Inter"/>
                <w:color w:val="475467"/>
                <w:sz w:val="16"/>
              </w:rPr>
              <w:t>Domain logic stays portable beyond the first frontend.</w:t>
            </w:r>
          </w:p>
        </w:tc>
      </w:tr>
    </w:tbl>
    <w:p>
      <w:pPr>
        <w:spacing w:before="0" w:after="0" w:line="269" w:lineRule="auto"/>
      </w:pPr>
    </w:p>
    <w:p>
      <w:pPr>
        <w:spacing w:before="0" w:after="0" w:line="269" w:lineRule="auto"/>
      </w:pPr>
    </w:p>
    <w:p>
      <w:pPr>
        <w:spacing w:before="0" w:after="0" w:line="269" w:lineRule="auto"/>
      </w:pPr>
    </w:p>
    <w:p>
      <w:pPr>
        <w:spacing w:before="0" w:after="0" w:line="269" w:lineRule="auto"/>
      </w:pPr>
    </w:p>
    <w:tbl>
      <w:tblPr>
        <w:tblW w:type="auto" w:w="0"/>
        <w:jc w:val="left"/>
        <w:tblLayout w:type="fixed"/>
        <w:tblLook w:firstColumn="1" w:firstRow="1" w:lastColumn="0" w:lastRow="0" w:noHBand="0" w:noVBand="1" w:val="04A0"/>
      </w:tblPr>
      <w:tblGrid>
        <w:gridCol w:w="5074"/>
        <w:gridCol w:w="5074"/>
      </w:tblGrid>
      <w:tr>
        <w:tc>
          <w:tcPr>
            <w:tcW w:type="dxa" w:w="1757"/>
            <w:tcBorders>
              <w:top w:val="nil"/>
              <w:left w:val="nil"/>
              <w:bottom w:val="nil"/>
              <w:right w:val="nil"/>
            </w:tcBorders>
            <w:tcMar>
              <w:top w:w="55" w:type="dxa"/>
              <w:start w:w="0" w:type="dxa"/>
              <w:bottom w:w="55" w:type="dxa"/>
              <w:end w:w="120" w:type="dxa"/>
            </w:tcMar>
          </w:tcPr>
          <w:p>
            <w:pPr>
              <w:spacing w:before="0" w:after="0" w:line="269" w:lineRule="auto"/>
            </w:pPr>
            <w:r>
              <w:rPr>
                <w:rFonts w:ascii="Inter" w:hAnsi="Inter" w:eastAsia="Inter"/>
                <w:b/>
                <w:color w:val="B87333"/>
                <w:sz w:val="15"/>
              </w:rPr>
              <w:t>PRODUCT</w:t>
            </w:r>
          </w:p>
        </w:tc>
        <w:tc>
          <w:tcPr>
            <w:tcW w:type="dxa" w:w="4819"/>
            <w:tcBorders>
              <w:top w:val="nil"/>
              <w:left w:val="nil"/>
              <w:bottom w:val="nil"/>
              <w:right w:val="nil"/>
            </w:tcBorders>
            <w:tcMar>
              <w:top w:w="55" w:type="dxa"/>
              <w:start w:w="0" w:type="dxa"/>
              <w:bottom w:w="55" w:type="dxa"/>
              <w:end w:w="0" w:type="dxa"/>
            </w:tcMar>
          </w:tcPr>
          <w:p>
            <w:pPr>
              <w:spacing w:before="0" w:after="0" w:line="269" w:lineRule="auto"/>
            </w:pPr>
            <w:r>
              <w:rPr>
                <w:rFonts w:ascii="Inter" w:hAnsi="Inter" w:eastAsia="Inter"/>
                <w:b/>
                <w:color w:val="20242A"/>
                <w:sz w:val="17"/>
              </w:rPr>
              <w:t>AridentFlow by AridentRIS</w:t>
            </w:r>
          </w:p>
        </w:tc>
      </w:tr>
      <w:tr>
        <w:tc>
          <w:tcPr>
            <w:tcW w:type="dxa" w:w="1757"/>
            <w:tcBorders>
              <w:top w:val="nil"/>
              <w:left w:val="nil"/>
              <w:bottom w:val="nil"/>
              <w:right w:val="nil"/>
            </w:tcBorders>
            <w:tcMar>
              <w:top w:w="55" w:type="dxa"/>
              <w:start w:w="0" w:type="dxa"/>
              <w:bottom w:w="55" w:type="dxa"/>
              <w:end w:w="120" w:type="dxa"/>
            </w:tcMar>
          </w:tcPr>
          <w:p>
            <w:pPr>
              <w:spacing w:before="0" w:after="0" w:line="269" w:lineRule="auto"/>
            </w:pPr>
            <w:r>
              <w:rPr>
                <w:rFonts w:ascii="Inter" w:hAnsi="Inter" w:eastAsia="Inter"/>
                <w:b/>
                <w:color w:val="B87333"/>
                <w:sz w:val="15"/>
              </w:rPr>
              <w:t>DOCUMENT</w:t>
            </w:r>
          </w:p>
        </w:tc>
        <w:tc>
          <w:tcPr>
            <w:tcW w:type="dxa" w:w="4819"/>
            <w:tcBorders>
              <w:top w:val="nil"/>
              <w:left w:val="nil"/>
              <w:bottom w:val="nil"/>
              <w:right w:val="nil"/>
            </w:tcBorders>
            <w:tcMar>
              <w:top w:w="55" w:type="dxa"/>
              <w:start w:w="0" w:type="dxa"/>
              <w:bottom w:w="55" w:type="dxa"/>
              <w:end w:w="0" w:type="dxa"/>
            </w:tcMar>
          </w:tcPr>
          <w:p>
            <w:pPr>
              <w:spacing w:before="0" w:after="0" w:line="269" w:lineRule="auto"/>
            </w:pPr>
            <w:r>
              <w:rPr>
                <w:rFonts w:ascii="Inter" w:hAnsi="Inter" w:eastAsia="Inter"/>
                <w:b w:val="0"/>
                <w:color w:val="20242A"/>
                <w:sz w:val="17"/>
              </w:rPr>
              <w:t>Project Definition Document</w:t>
            </w:r>
          </w:p>
        </w:tc>
      </w:tr>
      <w:tr>
        <w:tc>
          <w:tcPr>
            <w:tcW w:type="dxa" w:w="1757"/>
            <w:tcBorders>
              <w:top w:val="nil"/>
              <w:left w:val="nil"/>
              <w:bottom w:val="nil"/>
              <w:right w:val="nil"/>
            </w:tcBorders>
            <w:tcMar>
              <w:top w:w="55" w:type="dxa"/>
              <w:start w:w="0" w:type="dxa"/>
              <w:bottom w:w="55" w:type="dxa"/>
              <w:end w:w="120" w:type="dxa"/>
            </w:tcMar>
          </w:tcPr>
          <w:p>
            <w:pPr>
              <w:spacing w:before="0" w:after="0" w:line="269" w:lineRule="auto"/>
            </w:pPr>
            <w:r>
              <w:rPr>
                <w:rFonts w:ascii="Inter" w:hAnsi="Inter" w:eastAsia="Inter"/>
                <w:b/>
                <w:color w:val="B87333"/>
                <w:sz w:val="15"/>
              </w:rPr>
              <w:t>VERSION</w:t>
            </w:r>
          </w:p>
        </w:tc>
        <w:tc>
          <w:tcPr>
            <w:tcW w:type="dxa" w:w="4819"/>
            <w:tcBorders>
              <w:top w:val="nil"/>
              <w:left w:val="nil"/>
              <w:bottom w:val="nil"/>
              <w:right w:val="nil"/>
            </w:tcBorders>
            <w:tcMar>
              <w:top w:w="55" w:type="dxa"/>
              <w:start w:w="0" w:type="dxa"/>
              <w:bottom w:w="55" w:type="dxa"/>
              <w:end w:w="0" w:type="dxa"/>
            </w:tcMar>
          </w:tcPr>
          <w:p>
            <w:pPr>
              <w:spacing w:before="0" w:after="0" w:line="269" w:lineRule="auto"/>
            </w:pPr>
            <w:r>
              <w:rPr>
                <w:rFonts w:ascii="Inter" w:hAnsi="Inter" w:eastAsia="Inter"/>
                <w:b w:val="0"/>
                <w:color w:val="20242A"/>
                <w:sz w:val="17"/>
              </w:rPr>
              <w:t>1.0</w:t>
            </w:r>
          </w:p>
        </w:tc>
      </w:tr>
      <w:tr>
        <w:tc>
          <w:tcPr>
            <w:tcW w:type="dxa" w:w="1757"/>
            <w:tcBorders>
              <w:top w:val="nil"/>
              <w:left w:val="nil"/>
              <w:bottom w:val="nil"/>
              <w:right w:val="nil"/>
            </w:tcBorders>
            <w:tcMar>
              <w:top w:w="55" w:type="dxa"/>
              <w:start w:w="0" w:type="dxa"/>
              <w:bottom w:w="55" w:type="dxa"/>
              <w:end w:w="120" w:type="dxa"/>
            </w:tcMar>
          </w:tcPr>
          <w:p>
            <w:pPr>
              <w:spacing w:before="0" w:after="0" w:line="269" w:lineRule="auto"/>
            </w:pPr>
            <w:r>
              <w:rPr>
                <w:rFonts w:ascii="Inter" w:hAnsi="Inter" w:eastAsia="Inter"/>
                <w:b/>
                <w:color w:val="B87333"/>
                <w:sz w:val="15"/>
              </w:rPr>
              <w:t>DATE</w:t>
            </w:r>
          </w:p>
        </w:tc>
        <w:tc>
          <w:tcPr>
            <w:tcW w:type="dxa" w:w="4819"/>
            <w:tcBorders>
              <w:top w:val="nil"/>
              <w:left w:val="nil"/>
              <w:bottom w:val="nil"/>
              <w:right w:val="nil"/>
            </w:tcBorders>
            <w:tcMar>
              <w:top w:w="55" w:type="dxa"/>
              <w:start w:w="0" w:type="dxa"/>
              <w:bottom w:w="55" w:type="dxa"/>
              <w:end w:w="0" w:type="dxa"/>
            </w:tcMar>
          </w:tcPr>
          <w:p>
            <w:pPr>
              <w:spacing w:before="0" w:after="0" w:line="269" w:lineRule="auto"/>
            </w:pPr>
            <w:r>
              <w:rPr>
                <w:rFonts w:ascii="Inter" w:hAnsi="Inter" w:eastAsia="Inter"/>
                <w:b w:val="0"/>
                <w:color w:val="20242A"/>
                <w:sz w:val="17"/>
              </w:rPr>
              <w:t>14 August 2026</w:t>
            </w:r>
          </w:p>
        </w:tc>
      </w:tr>
    </w:tbl>
    <w:p>
      <w:pPr>
        <w:spacing w:before="280" w:after="0" w:line="269" w:lineRule="auto"/>
        <w:jc w:val="right"/>
      </w:pPr>
      <w:r>
        <w:rPr>
          <w:rFonts w:ascii="Inter" w:hAnsi="Inter" w:eastAsia="Inter"/>
          <w:i/>
          <w:color w:val="667085"/>
          <w:sz w:val="15"/>
        </w:rPr>
        <w:t>Prepared as the development foundation for Claude Code and engineering delivery.</w:t>
      </w:r>
    </w:p>
    <w:p>
      <w:pPr>
        <w:sectPr>
          <w:pgSz w:w="11906" w:h="16838"/>
          <w:pgMar w:top="822" w:right="879" w:bottom="822" w:left="879" w:header="340" w:footer="340" w:gutter="0"/>
          <w:cols w:space="720"/>
          <w:titlePg/>
          <w:docGrid w:linePitch="360"/>
        </w:sectPr>
      </w:pPr>
    </w:p>
    <w:p>
      <w:pPr>
        <w:pStyle w:val="Heading1"/>
        <w:spacing w:before="80" w:after="80" w:line="269" w:lineRule="auto"/>
      </w:pPr>
      <w:r>
        <w:rPr>
          <w:rFonts w:ascii="Inter Display" w:hAnsi="Inter Display" w:eastAsia="Inter Display"/>
          <w:b/>
          <w:color w:val="5A0F1A"/>
          <w:sz w:val="36"/>
        </w:rPr>
        <w:t>Document Control</w:t>
      </w:r>
    </w:p>
    <w:p>
      <w:pPr>
        <w:spacing w:before="0" w:after="120" w:line="269" w:lineRule="auto"/>
        <w:pBdr>
          <w:bottom w:val="single" w:sz="7" w:space="1" w:color="C9B2B5"/>
        </w:pBdr>
      </w:pPr>
    </w:p>
    <w:tbl>
      <w:tblPr>
        <w:tblStyle w:val="TableGrid"/>
        <w:tblW w:type="auto" w:w="0"/>
        <w:jc w:val="center"/>
        <w:tblLook w:firstColumn="1" w:firstRow="1" w:lastColumn="0" w:lastRow="0" w:noHBand="0" w:noVBand="1" w:val="04A0"/>
      </w:tblPr>
      <w:tblGrid>
        <w:gridCol w:w="5046"/>
        <w:gridCol w:w="5046"/>
      </w:tblGrid>
      <w:tr>
        <w:trPr>
          <w:tblHeader w:val="true"/>
        </w:trPr>
        <w:tc>
          <w:tcPr>
            <w:tcW w:type="dxa" w:w="2324"/>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Field</w:t>
            </w:r>
          </w:p>
        </w:tc>
        <w:tc>
          <w:tcPr>
            <w:tcW w:type="dxa" w:w="7030"/>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Definition</w:t>
            </w:r>
          </w:p>
        </w:tc>
      </w:tr>
      <w:tr>
        <w:trPr>
          <w:cantSplit/>
        </w:trPr>
        <w:tc>
          <w:tcPr>
            <w:tcW w:type="dxa" w:w="2324"/>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7"/>
              </w:rPr>
              <w:t>Product</w:t>
            </w:r>
          </w:p>
        </w:tc>
        <w:tc>
          <w:tcPr>
            <w:tcW w:type="dxa" w:w="703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7"/>
              </w:rPr>
              <w:t>AridentFlow — Business Process Simulation &amp; Optimization Studio</w:t>
            </w:r>
          </w:p>
        </w:tc>
      </w:tr>
      <w:tr>
        <w:trPr>
          <w:cantSplit/>
        </w:trPr>
        <w:tc>
          <w:tcPr>
            <w:tcW w:type="dxa" w:w="2324"/>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7"/>
              </w:rPr>
              <w:t>Master Brand</w:t>
            </w:r>
          </w:p>
        </w:tc>
        <w:tc>
          <w:tcPr>
            <w:tcW w:type="dxa" w:w="703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7"/>
              </w:rPr>
              <w:t>AridentRIS</w:t>
            </w:r>
          </w:p>
        </w:tc>
      </w:tr>
      <w:tr>
        <w:trPr>
          <w:cantSplit/>
        </w:trPr>
        <w:tc>
          <w:tcPr>
            <w:tcW w:type="dxa" w:w="2324"/>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7"/>
              </w:rPr>
              <w:t>Document Type</w:t>
            </w:r>
          </w:p>
        </w:tc>
        <w:tc>
          <w:tcPr>
            <w:tcW w:type="dxa" w:w="703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7"/>
              </w:rPr>
              <w:t>Project Definition Document / implementation blueprint</w:t>
            </w:r>
          </w:p>
        </w:tc>
      </w:tr>
      <w:tr>
        <w:trPr>
          <w:cantSplit/>
        </w:trPr>
        <w:tc>
          <w:tcPr>
            <w:tcW w:type="dxa" w:w="2324"/>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7"/>
              </w:rPr>
              <w:t>Version</w:t>
            </w:r>
          </w:p>
        </w:tc>
        <w:tc>
          <w:tcPr>
            <w:tcW w:type="dxa" w:w="703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7"/>
              </w:rPr>
              <w:t>1.0</w:t>
            </w:r>
          </w:p>
        </w:tc>
      </w:tr>
      <w:tr>
        <w:trPr>
          <w:cantSplit/>
        </w:trPr>
        <w:tc>
          <w:tcPr>
            <w:tcW w:type="dxa" w:w="2324"/>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7"/>
              </w:rPr>
              <w:t>Date</w:t>
            </w:r>
          </w:p>
        </w:tc>
        <w:tc>
          <w:tcPr>
            <w:tcW w:type="dxa" w:w="703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7"/>
              </w:rPr>
              <w:t>14 August 2026</w:t>
            </w:r>
          </w:p>
        </w:tc>
      </w:tr>
      <w:tr>
        <w:trPr>
          <w:cantSplit/>
        </w:trPr>
        <w:tc>
          <w:tcPr>
            <w:tcW w:type="dxa" w:w="2324"/>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7"/>
              </w:rPr>
              <w:t>Primary Audience</w:t>
            </w:r>
          </w:p>
        </w:tc>
        <w:tc>
          <w:tcPr>
            <w:tcW w:type="dxa" w:w="703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7"/>
              </w:rPr>
              <w:t>Product stakeholders, software engineers, partners, clients and investors</w:t>
            </w:r>
          </w:p>
        </w:tc>
      </w:tr>
      <w:tr>
        <w:trPr>
          <w:cantSplit/>
        </w:trPr>
        <w:tc>
          <w:tcPr>
            <w:tcW w:type="dxa" w:w="2324"/>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7"/>
              </w:rPr>
              <w:t>Delivery Model</w:t>
            </w:r>
          </w:p>
        </w:tc>
        <w:tc>
          <w:tcPr>
            <w:tcW w:type="dxa" w:w="703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7"/>
              </w:rPr>
              <w:t>Client-only/local-first wherever practical; optional backend capabilities are future scope</w:t>
            </w:r>
          </w:p>
        </w:tc>
      </w:tr>
      <w:tr>
        <w:trPr>
          <w:cantSplit/>
        </w:trPr>
        <w:tc>
          <w:tcPr>
            <w:tcW w:type="dxa" w:w="2324"/>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7"/>
              </w:rPr>
              <w:t>Decision Status</w:t>
            </w:r>
          </w:p>
        </w:tc>
        <w:tc>
          <w:tcPr>
            <w:tcW w:type="dxa" w:w="703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7"/>
              </w:rPr>
              <w:t>Approved product name; MVP scope defined in this document</w:t>
            </w:r>
          </w:p>
        </w:tc>
      </w:tr>
    </w:tbl>
    <w:p>
      <w:pPr>
        <w:spacing w:after="0"/>
      </w:pPr>
    </w:p>
    <w:p>
      <w:pPr>
        <w:pStyle w:val="Heading2"/>
        <w:keepNext/>
        <w:spacing w:before="140" w:after="60" w:line="269" w:lineRule="auto"/>
      </w:pPr>
      <w:r>
        <w:rPr>
          <w:rFonts w:ascii="Inter Display" w:hAnsi="Inter Display" w:eastAsia="Inter Display"/>
          <w:b/>
          <w:color w:val="7B0F22"/>
          <w:sz w:val="23"/>
        </w:rPr>
        <w:t>Purpose of this document</w:t>
      </w:r>
    </w:p>
    <w:p>
      <w:pPr>
        <w:pStyle w:val="BodyText"/>
        <w:spacing w:before="0" w:after="100" w:line="269" w:lineRule="auto"/>
      </w:pPr>
      <w:r>
        <w:rPr>
          <w:rFonts w:ascii="Inter" w:hAnsi="Inter" w:eastAsia="Inter"/>
          <w:i w:val="0"/>
          <w:color w:val="20242A"/>
        </w:rPr>
        <w:t>This document defines what AridentFlow is, why it should exist, what the first production-quality release must deliver, and how the system should be structured so development can proceed without repeatedly reopening foundational product decisions.</w:t>
      </w:r>
    </w:p>
    <w:p>
      <w:pPr>
        <w:pStyle w:val="BodyText"/>
        <w:spacing w:before="0" w:after="100" w:line="269" w:lineRule="auto"/>
      </w:pPr>
      <w:r>
        <w:rPr>
          <w:rFonts w:ascii="Inter" w:hAnsi="Inter" w:eastAsia="Inter"/>
          <w:i w:val="0"/>
          <w:color w:val="20242A"/>
        </w:rPr>
        <w:t>It is intentionally written at the boundary between product strategy and software architecture: specific enough to drive implementation, but not prescriptive at the level of source code.</w:t>
      </w:r>
    </w:p>
    <w:p>
      <w:pPr>
        <w:pStyle w:val="Heading2"/>
        <w:keepNext/>
        <w:spacing w:before="140" w:after="60" w:line="269" w:lineRule="auto"/>
      </w:pPr>
      <w:r>
        <w:rPr>
          <w:rFonts w:ascii="Inter Display" w:hAnsi="Inter Display" w:eastAsia="Inter Display"/>
          <w:b/>
          <w:color w:val="7B0F22"/>
          <w:sz w:val="23"/>
        </w:rPr>
        <w:t>Decision principles</w:t>
      </w:r>
    </w:p>
    <w:p>
      <w:pPr>
        <w:pStyle w:val="ListBullet"/>
        <w:spacing w:before="0" w:after="80" w:line="259" w:lineRule="auto"/>
      </w:pPr>
      <w:r>
        <w:rPr>
          <w:rFonts w:ascii="Inter" w:hAnsi="Inter" w:eastAsia="Inter"/>
          <w:color w:val="20242A"/>
          <w:sz w:val="18"/>
        </w:rPr>
        <w:t>Business insight over diagramming novelty — every major feature should help a user make or defend an operational decision.</w:t>
      </w:r>
    </w:p>
    <w:p>
      <w:pPr>
        <w:pStyle w:val="ListBullet"/>
        <w:spacing w:before="0" w:after="80" w:line="259" w:lineRule="auto"/>
      </w:pPr>
      <w:r>
        <w:rPr>
          <w:rFonts w:ascii="Inter" w:hAnsi="Inter" w:eastAsia="Inter"/>
          <w:color w:val="20242A"/>
          <w:sz w:val="18"/>
        </w:rPr>
        <w:t>Local-first over unnecessary cloud dependency — no backend is introduced merely to mimic a SaaS architecture.</w:t>
      </w:r>
    </w:p>
    <w:p>
      <w:pPr>
        <w:pStyle w:val="ListBullet"/>
        <w:spacing w:before="0" w:after="80" w:line="259" w:lineRule="auto"/>
      </w:pPr>
      <w:r>
        <w:rPr>
          <w:rFonts w:ascii="Inter" w:hAnsi="Inter" w:eastAsia="Inter"/>
          <w:color w:val="20242A"/>
          <w:sz w:val="18"/>
        </w:rPr>
        <w:t>Correct simulation over feature count — deterministic, testable behavior takes priority over broad BPMN coverage.</w:t>
      </w:r>
    </w:p>
    <w:p>
      <w:pPr>
        <w:pStyle w:val="ListBullet"/>
        <w:spacing w:before="0" w:after="80" w:line="259" w:lineRule="auto"/>
      </w:pPr>
      <w:r>
        <w:rPr>
          <w:rFonts w:ascii="Inter" w:hAnsi="Inter" w:eastAsia="Inter"/>
          <w:color w:val="20242A"/>
          <w:sz w:val="18"/>
        </w:rPr>
        <w:t>Progressive sophistication — advanced queuing, capacity, resources and process mining follow a credible core simulator.</w:t>
      </w:r>
    </w:p>
    <w:p>
      <w:pPr>
        <w:pStyle w:val="ListBullet"/>
        <w:spacing w:before="0" w:after="80" w:line="259" w:lineRule="auto"/>
      </w:pPr>
      <w:r>
        <w:rPr>
          <w:rFonts w:ascii="Inter" w:hAnsi="Inter" w:eastAsia="Inter"/>
          <w:color w:val="20242A"/>
          <w:sz w:val="18"/>
        </w:rPr>
        <w:t>Enterprise usability — accessibility, explainability, performance, error recovery and export are product features, not polish added at the end.</w:t>
      </w:r>
    </w:p>
    <w:tbl>
      <w:tblPr>
        <w:tblW w:type="auto" w:w="0"/>
        <w:jc w:val="center"/>
        <w:tblLayout w:type="autofit"/>
        <w:tblLook w:firstColumn="1" w:firstRow="1" w:lastColumn="0" w:lastRow="0" w:noHBand="0" w:noVBand="1" w:val="04A0"/>
      </w:tblPr>
      <w:tblGrid>
        <w:gridCol w:w="10092"/>
      </w:tblGrid>
      <w:tr>
        <w:trPr>
          <w:cantSplit/>
        </w:trPr>
        <w:tc>
          <w:tcPr>
            <w:tcW w:type="dxa" w:w="10092"/>
            <w:shd w:fill="FBF7EE"/>
            <w:tcMar>
              <w:top w:w="120" w:type="dxa"/>
              <w:start w:w="180" w:type="dxa"/>
              <w:bottom w:w="120" w:type="dxa"/>
              <w:end w:w="180" w:type="dxa"/>
            </w:tcMar>
            <w:tcBorders>
              <w:top w:val="nil"/>
              <w:left w:val="single" w:sz="20" w:color="B87333"/>
              <w:bottom w:val="nil"/>
              <w:right w:val="nil"/>
            </w:tcBorders>
          </w:tcPr>
          <w:p>
            <w:pPr>
              <w:spacing w:before="0" w:after="60" w:line="269" w:lineRule="auto"/>
            </w:pPr>
            <w:r>
              <w:rPr>
                <w:rFonts w:ascii="Inter" w:hAnsi="Inter" w:eastAsia="Inter"/>
                <w:b/>
                <w:color w:val="B87333"/>
                <w:sz w:val="16"/>
              </w:rPr>
              <w:t>WORKING PRODUCT THESIS</w:t>
            </w:r>
          </w:p>
          <w:p>
            <w:pPr>
              <w:spacing w:before="0" w:after="0" w:line="269" w:lineRule="auto"/>
            </w:pPr>
            <w:r>
              <w:rPr>
                <w:rFonts w:ascii="Inter" w:hAnsi="Inter" w:eastAsia="Inter"/>
                <w:color w:val="20242A"/>
                <w:sz w:val="18"/>
              </w:rPr>
              <w:t>AridentFlow should make a static process model behave like a measurable business experiment: configure assumptions, simulate outcomes, identify constraints, compare alternatives and communicate the expected impact.</w:t>
            </w:r>
          </w:p>
        </w:tc>
      </w:tr>
    </w:tbl>
    <w:p>
      <w:pPr>
        <w:spacing w:after="0"/>
      </w:pPr>
    </w:p>
    <w:p>
      <w:r>
        <w:br w:type="page"/>
      </w:r>
    </w:p>
    <w:p>
      <w:pPr>
        <w:spacing w:before="0" w:after="20" w:line="269" w:lineRule="auto"/>
      </w:pPr>
      <w:r>
        <w:rPr>
          <w:rFonts w:ascii="Inter" w:hAnsi="Inter" w:eastAsia="Inter"/>
          <w:b/>
          <w:color w:val="B87333"/>
          <w:sz w:val="16"/>
        </w:rPr>
        <w:t>CONTENTS</w:t>
      </w:r>
    </w:p>
    <w:p>
      <w:pPr>
        <w:pStyle w:val="Heading1"/>
        <w:spacing w:before="0" w:after="140" w:line="269" w:lineRule="auto"/>
      </w:pPr>
      <w:r>
        <w:rPr>
          <w:rFonts w:ascii="Inter Display" w:hAnsi="Inter Display" w:eastAsia="Inter Display"/>
          <w:b/>
          <w:color w:val="5A0F1A"/>
          <w:sz w:val="40"/>
        </w:rPr>
        <w:t>Table of Contents</w:t>
      </w:r>
    </w:p>
    <w:p>
      <w:pPr>
        <w:spacing w:before="0" w:after="120" w:line="269" w:lineRule="auto"/>
        <w:pBdr>
          <w:bottom w:val="single" w:sz="7" w:space="1" w:color="C9B2B5"/>
        </w:pBdr>
      </w:pPr>
    </w:p>
    <w:tbl>
      <w:tblPr>
        <w:tblW w:type="auto" w:w="0"/>
        <w:jc w:val="center"/>
        <w:tblLook w:firstColumn="1" w:firstRow="1" w:lastColumn="0" w:lastRow="0" w:noHBand="0" w:noVBand="1" w:val="04A0"/>
      </w:tblPr>
      <w:tblGrid>
        <w:gridCol w:w="5046"/>
        <w:gridCol w:w="5046"/>
      </w:tblGrid>
      <w:tr>
        <w:trPr>
          <w:cantSplit/>
        </w:trPr>
        <w:tc>
          <w:tcPr>
            <w:tcW w:type="dxa" w:w="8731"/>
            <w:tcMar>
              <w:top w:w="78" w:type="dxa"/>
              <w:start w:w="0" w:type="dxa"/>
              <w:bottom w:w="78" w:type="dxa"/>
              <w:end w:w="80" w:type="dxa"/>
            </w:tcMar>
          </w:tcPr>
          <w:p>
            <w:pPr>
              <w:spacing w:before="0" w:after="0" w:line="240" w:lineRule="auto"/>
            </w:pPr>
            <w:r>
              <w:rPr>
                <w:rFonts w:ascii="Inter" w:hAnsi="Inter" w:eastAsia="Inter"/>
                <w:b/>
                <w:color w:val="B87333"/>
                <w:sz w:val="16"/>
              </w:rPr>
              <w:t>01</w:t>
            </w:r>
            <w:r>
              <w:rPr>
                <w:rFonts w:ascii="Inter" w:hAnsi="Inter" w:eastAsia="Inter"/>
                <w:b/>
                <w:color w:val="20242A"/>
                <w:sz w:val="17"/>
              </w:rPr>
              <w:t xml:space="preserve">   Product Overview</w:t>
            </w:r>
          </w:p>
        </w:tc>
        <w:tc>
          <w:tcPr>
            <w:tcW w:type="dxa" w:w="624"/>
            <w:tcMar>
              <w:top w:w="78" w:type="dxa"/>
              <w:start w:w="0" w:type="dxa"/>
              <w:bottom w:w="78" w:type="dxa"/>
              <w:end w:w="0" w:type="dxa"/>
            </w:tcMar>
          </w:tcPr>
          <w:p>
            <w:pPr>
              <w:spacing w:before="0" w:after="0" w:line="240" w:lineRule="auto"/>
              <w:jc w:val="right"/>
            </w:pPr>
            <w:r>
              <w:rPr>
                <w:b/>
              </w:rPr>
              <w:t>4</w:t>
            </w:r>
          </w:p>
        </w:tc>
      </w:tr>
      <w:tr>
        <w:trPr>
          <w:cantSplit/>
        </w:trPr>
        <w:tc>
          <w:tcPr>
            <w:tcW w:type="dxa" w:w="8731"/>
            <w:tcMar>
              <w:top w:w="78" w:type="dxa"/>
              <w:start w:w="0" w:type="dxa"/>
              <w:bottom w:w="78" w:type="dxa"/>
              <w:end w:w="80" w:type="dxa"/>
            </w:tcMar>
          </w:tcPr>
          <w:p>
            <w:pPr>
              <w:spacing w:before="0" w:after="0" w:line="240" w:lineRule="auto"/>
            </w:pPr>
            <w:r>
              <w:rPr>
                <w:rFonts w:ascii="Inter" w:hAnsi="Inter" w:eastAsia="Inter"/>
                <w:b/>
                <w:color w:val="B87333"/>
                <w:sz w:val="16"/>
              </w:rPr>
              <w:t>02</w:t>
            </w:r>
            <w:r>
              <w:rPr>
                <w:rFonts w:ascii="Inter" w:hAnsi="Inter" w:eastAsia="Inter"/>
                <w:b/>
                <w:color w:val="20242A"/>
                <w:sz w:val="17"/>
              </w:rPr>
              <w:t xml:space="preserve">   Vision and Mission</w:t>
            </w:r>
          </w:p>
        </w:tc>
        <w:tc>
          <w:tcPr>
            <w:tcW w:type="dxa" w:w="624"/>
            <w:tcMar>
              <w:top w:w="78" w:type="dxa"/>
              <w:start w:w="0" w:type="dxa"/>
              <w:bottom w:w="78" w:type="dxa"/>
              <w:end w:w="0" w:type="dxa"/>
            </w:tcMar>
          </w:tcPr>
          <w:p>
            <w:pPr>
              <w:spacing w:before="0" w:after="0" w:line="240" w:lineRule="auto"/>
              <w:jc w:val="right"/>
            </w:pPr>
            <w:r>
              <w:rPr>
                <w:b/>
              </w:rPr>
              <w:t>4</w:t>
            </w:r>
          </w:p>
        </w:tc>
      </w:tr>
      <w:tr>
        <w:trPr>
          <w:cantSplit/>
        </w:trPr>
        <w:tc>
          <w:tcPr>
            <w:tcW w:type="dxa" w:w="8731"/>
            <w:tcMar>
              <w:top w:w="78" w:type="dxa"/>
              <w:start w:w="0" w:type="dxa"/>
              <w:bottom w:w="78" w:type="dxa"/>
              <w:end w:w="80" w:type="dxa"/>
            </w:tcMar>
          </w:tcPr>
          <w:p>
            <w:pPr>
              <w:spacing w:before="0" w:after="0" w:line="240" w:lineRule="auto"/>
            </w:pPr>
            <w:r>
              <w:rPr>
                <w:rFonts w:ascii="Inter" w:hAnsi="Inter" w:eastAsia="Inter"/>
                <w:b/>
                <w:color w:val="B87333"/>
                <w:sz w:val="16"/>
              </w:rPr>
              <w:t>03</w:t>
            </w:r>
            <w:r>
              <w:rPr>
                <w:rFonts w:ascii="Inter" w:hAnsi="Inter" w:eastAsia="Inter"/>
                <w:b/>
                <w:color w:val="20242A"/>
                <w:sz w:val="17"/>
              </w:rPr>
              <w:t xml:space="preserve">   Problem Statement</w:t>
            </w:r>
          </w:p>
        </w:tc>
        <w:tc>
          <w:tcPr>
            <w:tcW w:type="dxa" w:w="624"/>
            <w:tcMar>
              <w:top w:w="78" w:type="dxa"/>
              <w:start w:w="0" w:type="dxa"/>
              <w:bottom w:w="78" w:type="dxa"/>
              <w:end w:w="0" w:type="dxa"/>
            </w:tcMar>
          </w:tcPr>
          <w:p>
            <w:pPr>
              <w:spacing w:before="0" w:after="0" w:line="240" w:lineRule="auto"/>
              <w:jc w:val="right"/>
            </w:pPr>
            <w:r>
              <w:rPr>
                <w:b/>
              </w:rPr>
              <w:t>5</w:t>
            </w:r>
          </w:p>
        </w:tc>
      </w:tr>
      <w:tr>
        <w:trPr>
          <w:cantSplit/>
        </w:trPr>
        <w:tc>
          <w:tcPr>
            <w:tcW w:type="dxa" w:w="8731"/>
            <w:tcMar>
              <w:top w:w="78" w:type="dxa"/>
              <w:start w:w="0" w:type="dxa"/>
              <w:bottom w:w="78" w:type="dxa"/>
              <w:end w:w="80" w:type="dxa"/>
            </w:tcMar>
          </w:tcPr>
          <w:p>
            <w:pPr>
              <w:spacing w:before="0" w:after="0" w:line="240" w:lineRule="auto"/>
            </w:pPr>
            <w:r>
              <w:rPr>
                <w:rFonts w:ascii="Inter" w:hAnsi="Inter" w:eastAsia="Inter"/>
                <w:b/>
                <w:color w:val="B87333"/>
                <w:sz w:val="16"/>
              </w:rPr>
              <w:t>04</w:t>
            </w:r>
            <w:r>
              <w:rPr>
                <w:rFonts w:ascii="Inter" w:hAnsi="Inter" w:eastAsia="Inter"/>
                <w:b/>
                <w:color w:val="20242A"/>
                <w:sz w:val="17"/>
              </w:rPr>
              <w:t xml:space="preserve">   Value Proposition</w:t>
            </w:r>
          </w:p>
        </w:tc>
        <w:tc>
          <w:tcPr>
            <w:tcW w:type="dxa" w:w="624"/>
            <w:tcMar>
              <w:top w:w="78" w:type="dxa"/>
              <w:start w:w="0" w:type="dxa"/>
              <w:bottom w:w="78" w:type="dxa"/>
              <w:end w:w="0" w:type="dxa"/>
            </w:tcMar>
          </w:tcPr>
          <w:p>
            <w:pPr>
              <w:spacing w:before="0" w:after="0" w:line="240" w:lineRule="auto"/>
              <w:jc w:val="right"/>
            </w:pPr>
            <w:r>
              <w:rPr>
                <w:b/>
              </w:rPr>
              <w:t>5</w:t>
            </w:r>
          </w:p>
        </w:tc>
      </w:tr>
      <w:tr>
        <w:trPr>
          <w:cantSplit/>
        </w:trPr>
        <w:tc>
          <w:tcPr>
            <w:tcW w:type="dxa" w:w="8731"/>
            <w:tcMar>
              <w:top w:w="78" w:type="dxa"/>
              <w:start w:w="0" w:type="dxa"/>
              <w:bottom w:w="78" w:type="dxa"/>
              <w:end w:w="80" w:type="dxa"/>
            </w:tcMar>
          </w:tcPr>
          <w:p>
            <w:pPr>
              <w:spacing w:before="0" w:after="0" w:line="240" w:lineRule="auto"/>
            </w:pPr>
            <w:r>
              <w:rPr>
                <w:rFonts w:ascii="Inter" w:hAnsi="Inter" w:eastAsia="Inter"/>
                <w:b/>
                <w:color w:val="B87333"/>
                <w:sz w:val="16"/>
              </w:rPr>
              <w:t>05</w:t>
            </w:r>
            <w:r>
              <w:rPr>
                <w:rFonts w:ascii="Inter" w:hAnsi="Inter" w:eastAsia="Inter"/>
                <w:b/>
                <w:color w:val="20242A"/>
                <w:sz w:val="17"/>
              </w:rPr>
              <w:t xml:space="preserve">   Target Users</w:t>
            </w:r>
          </w:p>
        </w:tc>
        <w:tc>
          <w:tcPr>
            <w:tcW w:type="dxa" w:w="624"/>
            <w:tcMar>
              <w:top w:w="78" w:type="dxa"/>
              <w:start w:w="0" w:type="dxa"/>
              <w:bottom w:w="78" w:type="dxa"/>
              <w:end w:w="0" w:type="dxa"/>
            </w:tcMar>
          </w:tcPr>
          <w:p>
            <w:pPr>
              <w:spacing w:before="0" w:after="0" w:line="240" w:lineRule="auto"/>
              <w:jc w:val="right"/>
            </w:pPr>
            <w:r>
              <w:rPr>
                <w:b/>
              </w:rPr>
              <w:t>6</w:t>
            </w:r>
          </w:p>
        </w:tc>
      </w:tr>
      <w:tr>
        <w:trPr>
          <w:cantSplit/>
        </w:trPr>
        <w:tc>
          <w:tcPr>
            <w:tcW w:type="dxa" w:w="8731"/>
            <w:tcMar>
              <w:top w:w="78" w:type="dxa"/>
              <w:start w:w="0" w:type="dxa"/>
              <w:bottom w:w="78" w:type="dxa"/>
              <w:end w:w="80" w:type="dxa"/>
            </w:tcMar>
          </w:tcPr>
          <w:p>
            <w:pPr>
              <w:spacing w:before="0" w:after="0" w:line="240" w:lineRule="auto"/>
            </w:pPr>
            <w:r>
              <w:rPr>
                <w:rFonts w:ascii="Inter" w:hAnsi="Inter" w:eastAsia="Inter"/>
                <w:b/>
                <w:color w:val="B87333"/>
                <w:sz w:val="16"/>
              </w:rPr>
              <w:t>06</w:t>
            </w:r>
            <w:r>
              <w:rPr>
                <w:rFonts w:ascii="Inter" w:hAnsi="Inter" w:eastAsia="Inter"/>
                <w:b/>
                <w:color w:val="20242A"/>
                <w:sz w:val="17"/>
              </w:rPr>
              <w:t xml:space="preserve">   Goals and Objectives</w:t>
            </w:r>
          </w:p>
        </w:tc>
        <w:tc>
          <w:tcPr>
            <w:tcW w:type="dxa" w:w="624"/>
            <w:tcMar>
              <w:top w:w="78" w:type="dxa"/>
              <w:start w:w="0" w:type="dxa"/>
              <w:bottom w:w="78" w:type="dxa"/>
              <w:end w:w="0" w:type="dxa"/>
            </w:tcMar>
          </w:tcPr>
          <w:p>
            <w:pPr>
              <w:spacing w:before="0" w:after="0" w:line="240" w:lineRule="auto"/>
              <w:jc w:val="right"/>
            </w:pPr>
            <w:r>
              <w:rPr>
                <w:b/>
              </w:rPr>
              <w:t>7</w:t>
            </w:r>
          </w:p>
        </w:tc>
      </w:tr>
      <w:tr>
        <w:trPr>
          <w:cantSplit/>
        </w:trPr>
        <w:tc>
          <w:tcPr>
            <w:tcW w:type="dxa" w:w="8731"/>
            <w:tcMar>
              <w:top w:w="78" w:type="dxa"/>
              <w:start w:w="0" w:type="dxa"/>
              <w:bottom w:w="78" w:type="dxa"/>
              <w:end w:w="80" w:type="dxa"/>
            </w:tcMar>
          </w:tcPr>
          <w:p>
            <w:pPr>
              <w:spacing w:before="0" w:after="0" w:line="240" w:lineRule="auto"/>
            </w:pPr>
            <w:r>
              <w:rPr>
                <w:rFonts w:ascii="Inter" w:hAnsi="Inter" w:eastAsia="Inter"/>
                <w:b/>
                <w:color w:val="B87333"/>
                <w:sz w:val="16"/>
              </w:rPr>
              <w:t>07</w:t>
            </w:r>
            <w:r>
              <w:rPr>
                <w:rFonts w:ascii="Inter" w:hAnsi="Inter" w:eastAsia="Inter"/>
                <w:b/>
                <w:color w:val="20242A"/>
                <w:sz w:val="17"/>
              </w:rPr>
              <w:t xml:space="preserve">   Project Scope</w:t>
            </w:r>
          </w:p>
        </w:tc>
        <w:tc>
          <w:tcPr>
            <w:tcW w:type="dxa" w:w="624"/>
            <w:tcMar>
              <w:top w:w="78" w:type="dxa"/>
              <w:start w:w="0" w:type="dxa"/>
              <w:bottom w:w="78" w:type="dxa"/>
              <w:end w:w="0" w:type="dxa"/>
            </w:tcMar>
          </w:tcPr>
          <w:p>
            <w:pPr>
              <w:spacing w:before="0" w:after="0" w:line="240" w:lineRule="auto"/>
              <w:jc w:val="right"/>
            </w:pPr>
            <w:r>
              <w:rPr>
                <w:b/>
              </w:rPr>
              <w:t>7</w:t>
            </w:r>
          </w:p>
        </w:tc>
      </w:tr>
      <w:tr>
        <w:trPr>
          <w:cantSplit/>
        </w:trPr>
        <w:tc>
          <w:tcPr>
            <w:tcW w:type="dxa" w:w="8731"/>
            <w:tcMar>
              <w:top w:w="78" w:type="dxa"/>
              <w:start w:w="0" w:type="dxa"/>
              <w:bottom w:w="78" w:type="dxa"/>
              <w:end w:w="80" w:type="dxa"/>
            </w:tcMar>
          </w:tcPr>
          <w:p>
            <w:pPr>
              <w:spacing w:before="0" w:after="0" w:line="240" w:lineRule="auto"/>
            </w:pPr>
            <w:r>
              <w:rPr>
                <w:rFonts w:ascii="Inter" w:hAnsi="Inter" w:eastAsia="Inter"/>
                <w:b/>
                <w:color w:val="B87333"/>
                <w:sz w:val="16"/>
              </w:rPr>
              <w:t>08</w:t>
            </w:r>
            <w:r>
              <w:rPr>
                <w:rFonts w:ascii="Inter" w:hAnsi="Inter" w:eastAsia="Inter"/>
                <w:b/>
                <w:color w:val="20242A"/>
                <w:sz w:val="17"/>
              </w:rPr>
              <w:t xml:space="preserve">   Core Features and Functionality</w:t>
            </w:r>
          </w:p>
        </w:tc>
        <w:tc>
          <w:tcPr>
            <w:tcW w:type="dxa" w:w="624"/>
            <w:tcMar>
              <w:top w:w="78" w:type="dxa"/>
              <w:start w:w="0" w:type="dxa"/>
              <w:bottom w:w="78" w:type="dxa"/>
              <w:end w:w="0" w:type="dxa"/>
            </w:tcMar>
          </w:tcPr>
          <w:p>
            <w:pPr>
              <w:spacing w:before="0" w:after="0" w:line="240" w:lineRule="auto"/>
              <w:jc w:val="right"/>
            </w:pPr>
            <w:r>
              <w:rPr>
                <w:b/>
              </w:rPr>
              <w:t>9</w:t>
            </w:r>
          </w:p>
        </w:tc>
      </w:tr>
      <w:tr>
        <w:trPr>
          <w:cantSplit/>
        </w:trPr>
        <w:tc>
          <w:tcPr>
            <w:tcW w:type="dxa" w:w="8731"/>
            <w:tcMar>
              <w:top w:w="78" w:type="dxa"/>
              <w:start w:w="0" w:type="dxa"/>
              <w:bottom w:w="78" w:type="dxa"/>
              <w:end w:w="80" w:type="dxa"/>
            </w:tcMar>
          </w:tcPr>
          <w:p>
            <w:pPr>
              <w:spacing w:before="0" w:after="0" w:line="240" w:lineRule="auto"/>
            </w:pPr>
            <w:r>
              <w:rPr>
                <w:rFonts w:ascii="Inter" w:hAnsi="Inter" w:eastAsia="Inter"/>
                <w:b/>
                <w:color w:val="B87333"/>
                <w:sz w:val="16"/>
              </w:rPr>
              <w:t>09</w:t>
            </w:r>
            <w:r>
              <w:rPr>
                <w:rFonts w:ascii="Inter" w:hAnsi="Inter" w:eastAsia="Inter"/>
                <w:b/>
                <w:color w:val="20242A"/>
                <w:sz w:val="17"/>
              </w:rPr>
              <w:t xml:space="preserve">   Key User Workflows</w:t>
            </w:r>
          </w:p>
        </w:tc>
        <w:tc>
          <w:tcPr>
            <w:tcW w:type="dxa" w:w="624"/>
            <w:tcMar>
              <w:top w:w="78" w:type="dxa"/>
              <w:start w:w="0" w:type="dxa"/>
              <w:bottom w:w="78" w:type="dxa"/>
              <w:end w:w="0" w:type="dxa"/>
            </w:tcMar>
          </w:tcPr>
          <w:p>
            <w:pPr>
              <w:spacing w:before="0" w:after="0" w:line="240" w:lineRule="auto"/>
              <w:jc w:val="right"/>
            </w:pPr>
            <w:r>
              <w:rPr>
                <w:b/>
              </w:rPr>
              <w:t>10</w:t>
            </w:r>
          </w:p>
        </w:tc>
      </w:tr>
      <w:tr>
        <w:trPr>
          <w:cantSplit/>
        </w:trPr>
        <w:tc>
          <w:tcPr>
            <w:tcW w:type="dxa" w:w="8731"/>
            <w:tcMar>
              <w:top w:w="78" w:type="dxa"/>
              <w:start w:w="0" w:type="dxa"/>
              <w:bottom w:w="78" w:type="dxa"/>
              <w:end w:w="80" w:type="dxa"/>
            </w:tcMar>
          </w:tcPr>
          <w:p>
            <w:pPr>
              <w:spacing w:before="0" w:after="0" w:line="240" w:lineRule="auto"/>
            </w:pPr>
            <w:r>
              <w:rPr>
                <w:rFonts w:ascii="Inter" w:hAnsi="Inter" w:eastAsia="Inter"/>
                <w:b/>
                <w:color w:val="B87333"/>
                <w:sz w:val="16"/>
              </w:rPr>
              <w:t>10</w:t>
            </w:r>
            <w:r>
              <w:rPr>
                <w:rFonts w:ascii="Inter" w:hAnsi="Inter" w:eastAsia="Inter"/>
                <w:b/>
                <w:color w:val="20242A"/>
                <w:sz w:val="17"/>
              </w:rPr>
              <w:t xml:space="preserve">   Functional Requirements</w:t>
            </w:r>
          </w:p>
        </w:tc>
        <w:tc>
          <w:tcPr>
            <w:tcW w:type="dxa" w:w="624"/>
            <w:tcMar>
              <w:top w:w="78" w:type="dxa"/>
              <w:start w:w="0" w:type="dxa"/>
              <w:bottom w:w="78" w:type="dxa"/>
              <w:end w:w="0" w:type="dxa"/>
            </w:tcMar>
          </w:tcPr>
          <w:p>
            <w:pPr>
              <w:spacing w:before="0" w:after="0" w:line="240" w:lineRule="auto"/>
              <w:jc w:val="right"/>
            </w:pPr>
            <w:r>
              <w:rPr>
                <w:b/>
              </w:rPr>
              <w:t>11</w:t>
            </w:r>
          </w:p>
        </w:tc>
      </w:tr>
      <w:tr>
        <w:trPr>
          <w:cantSplit/>
        </w:trPr>
        <w:tc>
          <w:tcPr>
            <w:tcW w:type="dxa" w:w="8731"/>
            <w:tcMar>
              <w:top w:w="78" w:type="dxa"/>
              <w:start w:w="0" w:type="dxa"/>
              <w:bottom w:w="78" w:type="dxa"/>
              <w:end w:w="80" w:type="dxa"/>
            </w:tcMar>
          </w:tcPr>
          <w:p>
            <w:pPr>
              <w:spacing w:before="0" w:after="0" w:line="240" w:lineRule="auto"/>
            </w:pPr>
            <w:r>
              <w:rPr>
                <w:rFonts w:ascii="Inter" w:hAnsi="Inter" w:eastAsia="Inter"/>
                <w:b/>
                <w:color w:val="B87333"/>
                <w:sz w:val="16"/>
              </w:rPr>
              <w:t>11</w:t>
            </w:r>
            <w:r>
              <w:rPr>
                <w:rFonts w:ascii="Inter" w:hAnsi="Inter" w:eastAsia="Inter"/>
                <w:b/>
                <w:color w:val="20242A"/>
                <w:sz w:val="17"/>
              </w:rPr>
              <w:t xml:space="preserve">   Non-Functional Requirements</w:t>
            </w:r>
          </w:p>
        </w:tc>
        <w:tc>
          <w:tcPr>
            <w:tcW w:type="dxa" w:w="624"/>
            <w:tcMar>
              <w:top w:w="78" w:type="dxa"/>
              <w:start w:w="0" w:type="dxa"/>
              <w:bottom w:w="78" w:type="dxa"/>
              <w:end w:w="0" w:type="dxa"/>
            </w:tcMar>
          </w:tcPr>
          <w:p>
            <w:pPr>
              <w:spacing w:before="0" w:after="0" w:line="240" w:lineRule="auto"/>
              <w:jc w:val="right"/>
            </w:pPr>
            <w:r>
              <w:rPr>
                <w:b/>
              </w:rPr>
              <w:t>13</w:t>
            </w:r>
          </w:p>
        </w:tc>
      </w:tr>
      <w:tr>
        <w:trPr>
          <w:cantSplit/>
        </w:trPr>
        <w:tc>
          <w:tcPr>
            <w:tcW w:type="dxa" w:w="8731"/>
            <w:tcMar>
              <w:top w:w="78" w:type="dxa"/>
              <w:start w:w="0" w:type="dxa"/>
              <w:bottom w:w="78" w:type="dxa"/>
              <w:end w:w="80" w:type="dxa"/>
            </w:tcMar>
          </w:tcPr>
          <w:p>
            <w:pPr>
              <w:spacing w:before="0" w:after="0" w:line="240" w:lineRule="auto"/>
            </w:pPr>
            <w:r>
              <w:rPr>
                <w:rFonts w:ascii="Inter" w:hAnsi="Inter" w:eastAsia="Inter"/>
                <w:b/>
                <w:color w:val="B87333"/>
                <w:sz w:val="16"/>
              </w:rPr>
              <w:t>12</w:t>
            </w:r>
            <w:r>
              <w:rPr>
                <w:rFonts w:ascii="Inter" w:hAnsi="Inter" w:eastAsia="Inter"/>
                <w:b/>
                <w:color w:val="20242A"/>
                <w:sz w:val="17"/>
              </w:rPr>
              <w:t xml:space="preserve">   UI/UX Design Direction</w:t>
            </w:r>
          </w:p>
        </w:tc>
        <w:tc>
          <w:tcPr>
            <w:tcW w:type="dxa" w:w="624"/>
            <w:tcMar>
              <w:top w:w="78" w:type="dxa"/>
              <w:start w:w="0" w:type="dxa"/>
              <w:bottom w:w="78" w:type="dxa"/>
              <w:end w:w="0" w:type="dxa"/>
            </w:tcMar>
          </w:tcPr>
          <w:p>
            <w:pPr>
              <w:spacing w:before="0" w:after="0" w:line="240" w:lineRule="auto"/>
              <w:jc w:val="right"/>
            </w:pPr>
            <w:r>
              <w:rPr>
                <w:b/>
              </w:rPr>
              <w:t>14</w:t>
            </w:r>
          </w:p>
        </w:tc>
      </w:tr>
      <w:tr>
        <w:trPr>
          <w:cantSplit/>
        </w:trPr>
        <w:tc>
          <w:tcPr>
            <w:tcW w:type="dxa" w:w="8731"/>
            <w:tcMar>
              <w:top w:w="78" w:type="dxa"/>
              <w:start w:w="0" w:type="dxa"/>
              <w:bottom w:w="78" w:type="dxa"/>
              <w:end w:w="80" w:type="dxa"/>
            </w:tcMar>
          </w:tcPr>
          <w:p>
            <w:pPr>
              <w:spacing w:before="0" w:after="0" w:line="240" w:lineRule="auto"/>
            </w:pPr>
            <w:r>
              <w:rPr>
                <w:rFonts w:ascii="Inter" w:hAnsi="Inter" w:eastAsia="Inter"/>
                <w:b/>
                <w:color w:val="B87333"/>
                <w:sz w:val="16"/>
              </w:rPr>
              <w:t>13</w:t>
            </w:r>
            <w:r>
              <w:rPr>
                <w:rFonts w:ascii="Inter" w:hAnsi="Inter" w:eastAsia="Inter"/>
                <w:b/>
                <w:color w:val="20242A"/>
                <w:sz w:val="17"/>
              </w:rPr>
              <w:t xml:space="preserve">   Technology Stack</w:t>
            </w:r>
          </w:p>
        </w:tc>
        <w:tc>
          <w:tcPr>
            <w:tcW w:type="dxa" w:w="624"/>
            <w:tcMar>
              <w:top w:w="78" w:type="dxa"/>
              <w:start w:w="0" w:type="dxa"/>
              <w:bottom w:w="78" w:type="dxa"/>
              <w:end w:w="0" w:type="dxa"/>
            </w:tcMar>
          </w:tcPr>
          <w:p>
            <w:pPr>
              <w:spacing w:before="0" w:after="0" w:line="240" w:lineRule="auto"/>
              <w:jc w:val="right"/>
            </w:pPr>
            <w:r>
              <w:rPr>
                <w:b/>
              </w:rPr>
              <w:t>15</w:t>
            </w:r>
          </w:p>
        </w:tc>
      </w:tr>
      <w:tr>
        <w:trPr>
          <w:cantSplit/>
        </w:trPr>
        <w:tc>
          <w:tcPr>
            <w:tcW w:type="dxa" w:w="8731"/>
            <w:tcMar>
              <w:top w:w="78" w:type="dxa"/>
              <w:start w:w="0" w:type="dxa"/>
              <w:bottom w:w="78" w:type="dxa"/>
              <w:end w:w="80" w:type="dxa"/>
            </w:tcMar>
          </w:tcPr>
          <w:p>
            <w:pPr>
              <w:spacing w:before="0" w:after="0" w:line="240" w:lineRule="auto"/>
            </w:pPr>
            <w:r>
              <w:rPr>
                <w:rFonts w:ascii="Inter" w:hAnsi="Inter" w:eastAsia="Inter"/>
                <w:b/>
                <w:color w:val="B87333"/>
                <w:sz w:val="16"/>
              </w:rPr>
              <w:t>14</w:t>
            </w:r>
            <w:r>
              <w:rPr>
                <w:rFonts w:ascii="Inter" w:hAnsi="Inter" w:eastAsia="Inter"/>
                <w:b/>
                <w:color w:val="20242A"/>
                <w:sz w:val="17"/>
              </w:rPr>
              <w:t xml:space="preserve">   High-Level System Architecture</w:t>
            </w:r>
          </w:p>
        </w:tc>
        <w:tc>
          <w:tcPr>
            <w:tcW w:type="dxa" w:w="624"/>
            <w:tcMar>
              <w:top w:w="78" w:type="dxa"/>
              <w:start w:w="0" w:type="dxa"/>
              <w:bottom w:w="78" w:type="dxa"/>
              <w:end w:w="0" w:type="dxa"/>
            </w:tcMar>
          </w:tcPr>
          <w:p>
            <w:pPr>
              <w:spacing w:before="0" w:after="0" w:line="240" w:lineRule="auto"/>
              <w:jc w:val="right"/>
            </w:pPr>
            <w:r>
              <w:rPr>
                <w:b/>
              </w:rPr>
              <w:t>16</w:t>
            </w:r>
          </w:p>
        </w:tc>
      </w:tr>
    </w:tbl>
    <w:p>
      <w:r>
        <w:br w:type="page"/>
      </w:r>
    </w:p>
    <w:p>
      <w:pPr>
        <w:spacing w:before="0" w:after="20" w:line="269" w:lineRule="auto"/>
      </w:pPr>
      <w:r>
        <w:rPr>
          <w:rFonts w:ascii="Inter" w:hAnsi="Inter" w:eastAsia="Inter"/>
          <w:b/>
          <w:color w:val="B87333"/>
          <w:sz w:val="16"/>
        </w:rPr>
        <w:t>CONTENTS</w:t>
      </w:r>
    </w:p>
    <w:p>
      <w:pPr>
        <w:spacing w:before="0" w:after="140" w:line="269" w:lineRule="auto"/>
      </w:pPr>
      <w:r>
        <w:rPr>
          <w:rFonts w:ascii="Inter Display" w:hAnsi="Inter Display" w:eastAsia="Inter Display"/>
          <w:b/>
          <w:color w:val="5A0F1A"/>
          <w:sz w:val="30"/>
        </w:rPr>
        <w:t>Table of Contents — continued</w:t>
      </w:r>
    </w:p>
    <w:p>
      <w:pPr>
        <w:spacing w:before="0" w:after="120" w:line="269" w:lineRule="auto"/>
        <w:pBdr>
          <w:bottom w:val="single" w:sz="7" w:space="1" w:color="C9B2B5"/>
        </w:pBdr>
      </w:pPr>
    </w:p>
    <w:tbl>
      <w:tblPr>
        <w:tblW w:type="auto" w:w="0"/>
        <w:jc w:val="center"/>
        <w:tblLook w:firstColumn="1" w:firstRow="1" w:lastColumn="0" w:lastRow="0" w:noHBand="0" w:noVBand="1" w:val="04A0"/>
      </w:tblPr>
      <w:tblGrid>
        <w:gridCol w:w="5046"/>
        <w:gridCol w:w="5046"/>
      </w:tblGrid>
      <w:tr>
        <w:trPr>
          <w:cantSplit/>
        </w:trPr>
        <w:tc>
          <w:tcPr>
            <w:tcW w:type="dxa" w:w="8731"/>
            <w:tcMar>
              <w:top w:w="78" w:type="dxa"/>
              <w:start w:w="0" w:type="dxa"/>
              <w:bottom w:w="78" w:type="dxa"/>
              <w:end w:w="80" w:type="dxa"/>
            </w:tcMar>
          </w:tcPr>
          <w:p>
            <w:pPr>
              <w:spacing w:before="0" w:after="0" w:line="240" w:lineRule="auto"/>
            </w:pPr>
            <w:r>
              <w:rPr>
                <w:rFonts w:ascii="Inter" w:hAnsi="Inter" w:eastAsia="Inter"/>
                <w:b/>
                <w:color w:val="B87333"/>
                <w:sz w:val="16"/>
              </w:rPr>
              <w:t>15</w:t>
            </w:r>
            <w:r>
              <w:rPr>
                <w:rFonts w:ascii="Inter" w:hAnsi="Inter" w:eastAsia="Inter"/>
                <w:b/>
                <w:color w:val="20242A"/>
                <w:sz w:val="17"/>
              </w:rPr>
              <w:t xml:space="preserve">   Frontend Architecture</w:t>
            </w:r>
          </w:p>
        </w:tc>
        <w:tc>
          <w:tcPr>
            <w:tcW w:type="dxa" w:w="624"/>
            <w:tcMar>
              <w:top w:w="78" w:type="dxa"/>
              <w:start w:w="0" w:type="dxa"/>
              <w:bottom w:w="78" w:type="dxa"/>
              <w:end w:w="0" w:type="dxa"/>
            </w:tcMar>
          </w:tcPr>
          <w:p>
            <w:pPr>
              <w:spacing w:before="0" w:after="0" w:line="240" w:lineRule="auto"/>
              <w:jc w:val="right"/>
            </w:pPr>
            <w:r>
              <w:rPr>
                <w:b/>
              </w:rPr>
              <w:t>17</w:t>
            </w:r>
          </w:p>
        </w:tc>
      </w:tr>
      <w:tr>
        <w:trPr>
          <w:cantSplit/>
        </w:trPr>
        <w:tc>
          <w:tcPr>
            <w:tcW w:type="dxa" w:w="8731"/>
            <w:tcMar>
              <w:top w:w="78" w:type="dxa"/>
              <w:start w:w="0" w:type="dxa"/>
              <w:bottom w:w="78" w:type="dxa"/>
              <w:end w:w="80" w:type="dxa"/>
            </w:tcMar>
          </w:tcPr>
          <w:p>
            <w:pPr>
              <w:spacing w:before="0" w:after="0" w:line="240" w:lineRule="auto"/>
            </w:pPr>
            <w:r>
              <w:rPr>
                <w:rFonts w:ascii="Inter" w:hAnsi="Inter" w:eastAsia="Inter"/>
                <w:b/>
                <w:color w:val="B87333"/>
                <w:sz w:val="16"/>
              </w:rPr>
              <w:t>16</w:t>
            </w:r>
            <w:r>
              <w:rPr>
                <w:rFonts w:ascii="Inter" w:hAnsi="Inter" w:eastAsia="Inter"/>
                <w:b/>
                <w:color w:val="20242A"/>
                <w:sz w:val="17"/>
              </w:rPr>
              <w:t xml:space="preserve">   Data Management Strategy</w:t>
            </w:r>
          </w:p>
        </w:tc>
        <w:tc>
          <w:tcPr>
            <w:tcW w:type="dxa" w:w="624"/>
            <w:tcMar>
              <w:top w:w="78" w:type="dxa"/>
              <w:start w:w="0" w:type="dxa"/>
              <w:bottom w:w="78" w:type="dxa"/>
              <w:end w:w="0" w:type="dxa"/>
            </w:tcMar>
          </w:tcPr>
          <w:p>
            <w:pPr>
              <w:spacing w:before="0" w:after="0" w:line="240" w:lineRule="auto"/>
              <w:jc w:val="right"/>
            </w:pPr>
            <w:r>
              <w:rPr>
                <w:b/>
              </w:rPr>
              <w:t>18</w:t>
            </w:r>
          </w:p>
        </w:tc>
      </w:tr>
      <w:tr>
        <w:trPr>
          <w:cantSplit/>
        </w:trPr>
        <w:tc>
          <w:tcPr>
            <w:tcW w:type="dxa" w:w="8731"/>
            <w:tcMar>
              <w:top w:w="78" w:type="dxa"/>
              <w:start w:w="0" w:type="dxa"/>
              <w:bottom w:w="78" w:type="dxa"/>
              <w:end w:w="80" w:type="dxa"/>
            </w:tcMar>
          </w:tcPr>
          <w:p>
            <w:pPr>
              <w:spacing w:before="0" w:after="0" w:line="240" w:lineRule="auto"/>
            </w:pPr>
            <w:r>
              <w:rPr>
                <w:rFonts w:ascii="Inter" w:hAnsi="Inter" w:eastAsia="Inter"/>
                <w:b/>
                <w:color w:val="B87333"/>
                <w:sz w:val="16"/>
              </w:rPr>
              <w:t>17</w:t>
            </w:r>
            <w:r>
              <w:rPr>
                <w:rFonts w:ascii="Inter" w:hAnsi="Inter" w:eastAsia="Inter"/>
                <w:b/>
                <w:color w:val="20242A"/>
                <w:sz w:val="17"/>
              </w:rPr>
              <w:t xml:space="preserve">   Security Considerations</w:t>
            </w:r>
          </w:p>
        </w:tc>
        <w:tc>
          <w:tcPr>
            <w:tcW w:type="dxa" w:w="624"/>
            <w:tcMar>
              <w:top w:w="78" w:type="dxa"/>
              <w:start w:w="0" w:type="dxa"/>
              <w:bottom w:w="78" w:type="dxa"/>
              <w:end w:w="0" w:type="dxa"/>
            </w:tcMar>
          </w:tcPr>
          <w:p>
            <w:pPr>
              <w:spacing w:before="0" w:after="0" w:line="240" w:lineRule="auto"/>
              <w:jc w:val="right"/>
            </w:pPr>
            <w:r>
              <w:rPr>
                <w:b/>
              </w:rPr>
              <w:t>19</w:t>
            </w:r>
          </w:p>
        </w:tc>
      </w:tr>
      <w:tr>
        <w:trPr>
          <w:cantSplit/>
        </w:trPr>
        <w:tc>
          <w:tcPr>
            <w:tcW w:type="dxa" w:w="8731"/>
            <w:tcMar>
              <w:top w:w="78" w:type="dxa"/>
              <w:start w:w="0" w:type="dxa"/>
              <w:bottom w:w="78" w:type="dxa"/>
              <w:end w:w="80" w:type="dxa"/>
            </w:tcMar>
          </w:tcPr>
          <w:p>
            <w:pPr>
              <w:spacing w:before="0" w:after="0" w:line="240" w:lineRule="auto"/>
            </w:pPr>
            <w:r>
              <w:rPr>
                <w:rFonts w:ascii="Inter" w:hAnsi="Inter" w:eastAsia="Inter"/>
                <w:b/>
                <w:color w:val="B87333"/>
                <w:sz w:val="16"/>
              </w:rPr>
              <w:t>18</w:t>
            </w:r>
            <w:r>
              <w:rPr>
                <w:rFonts w:ascii="Inter" w:hAnsi="Inter" w:eastAsia="Inter"/>
                <w:b/>
                <w:color w:val="20242A"/>
                <w:sz w:val="17"/>
              </w:rPr>
              <w:t xml:space="preserve">   Performance and Scalability</w:t>
            </w:r>
          </w:p>
        </w:tc>
        <w:tc>
          <w:tcPr>
            <w:tcW w:type="dxa" w:w="624"/>
            <w:tcMar>
              <w:top w:w="78" w:type="dxa"/>
              <w:start w:w="0" w:type="dxa"/>
              <w:bottom w:w="78" w:type="dxa"/>
              <w:end w:w="0" w:type="dxa"/>
            </w:tcMar>
          </w:tcPr>
          <w:p>
            <w:pPr>
              <w:spacing w:before="0" w:after="0" w:line="240" w:lineRule="auto"/>
              <w:jc w:val="right"/>
            </w:pPr>
            <w:r>
              <w:rPr>
                <w:b/>
              </w:rPr>
              <w:t>19</w:t>
            </w:r>
          </w:p>
        </w:tc>
      </w:tr>
      <w:tr>
        <w:trPr>
          <w:cantSplit/>
        </w:trPr>
        <w:tc>
          <w:tcPr>
            <w:tcW w:type="dxa" w:w="8731"/>
            <w:tcMar>
              <w:top w:w="78" w:type="dxa"/>
              <w:start w:w="0" w:type="dxa"/>
              <w:bottom w:w="78" w:type="dxa"/>
              <w:end w:w="80" w:type="dxa"/>
            </w:tcMar>
          </w:tcPr>
          <w:p>
            <w:pPr>
              <w:spacing w:before="0" w:after="0" w:line="240" w:lineRule="auto"/>
            </w:pPr>
            <w:r>
              <w:rPr>
                <w:rFonts w:ascii="Inter" w:hAnsi="Inter" w:eastAsia="Inter"/>
                <w:b/>
                <w:color w:val="B87333"/>
                <w:sz w:val="16"/>
              </w:rPr>
              <w:t>19</w:t>
            </w:r>
            <w:r>
              <w:rPr>
                <w:rFonts w:ascii="Inter" w:hAnsi="Inter" w:eastAsia="Inter"/>
                <w:b/>
                <w:color w:val="20242A"/>
                <w:sz w:val="17"/>
              </w:rPr>
              <w:t xml:space="preserve">   Project Structure and Engineering Standards</w:t>
            </w:r>
          </w:p>
        </w:tc>
        <w:tc>
          <w:tcPr>
            <w:tcW w:type="dxa" w:w="624"/>
            <w:tcMar>
              <w:top w:w="78" w:type="dxa"/>
              <w:start w:w="0" w:type="dxa"/>
              <w:bottom w:w="78" w:type="dxa"/>
              <w:end w:w="0" w:type="dxa"/>
            </w:tcMar>
          </w:tcPr>
          <w:p>
            <w:pPr>
              <w:spacing w:before="0" w:after="0" w:line="240" w:lineRule="auto"/>
              <w:jc w:val="right"/>
            </w:pPr>
            <w:r>
              <w:rPr>
                <w:b/>
              </w:rPr>
              <w:t>20</w:t>
            </w:r>
          </w:p>
        </w:tc>
      </w:tr>
      <w:tr>
        <w:trPr>
          <w:cantSplit/>
        </w:trPr>
        <w:tc>
          <w:tcPr>
            <w:tcW w:type="dxa" w:w="8731"/>
            <w:tcMar>
              <w:top w:w="78" w:type="dxa"/>
              <w:start w:w="0" w:type="dxa"/>
              <w:bottom w:w="78" w:type="dxa"/>
              <w:end w:w="80" w:type="dxa"/>
            </w:tcMar>
          </w:tcPr>
          <w:p>
            <w:pPr>
              <w:spacing w:before="0" w:after="0" w:line="240" w:lineRule="auto"/>
            </w:pPr>
            <w:r>
              <w:rPr>
                <w:rFonts w:ascii="Inter" w:hAnsi="Inter" w:eastAsia="Inter"/>
                <w:b/>
                <w:color w:val="B87333"/>
                <w:sz w:val="16"/>
              </w:rPr>
              <w:t>20</w:t>
            </w:r>
            <w:r>
              <w:rPr>
                <w:rFonts w:ascii="Inter" w:hAnsi="Inter" w:eastAsia="Inter"/>
                <w:b/>
                <w:color w:val="20242A"/>
                <w:sz w:val="17"/>
              </w:rPr>
              <w:t xml:space="preserve">   Development Roadmap and Milestones</w:t>
            </w:r>
          </w:p>
        </w:tc>
        <w:tc>
          <w:tcPr>
            <w:tcW w:type="dxa" w:w="624"/>
            <w:tcMar>
              <w:top w:w="78" w:type="dxa"/>
              <w:start w:w="0" w:type="dxa"/>
              <w:bottom w:w="78" w:type="dxa"/>
              <w:end w:w="0" w:type="dxa"/>
            </w:tcMar>
          </w:tcPr>
          <w:p>
            <w:pPr>
              <w:spacing w:before="0" w:after="0" w:line="240" w:lineRule="auto"/>
              <w:jc w:val="right"/>
            </w:pPr>
            <w:r>
              <w:rPr>
                <w:b/>
              </w:rPr>
              <w:t>21</w:t>
            </w:r>
          </w:p>
        </w:tc>
      </w:tr>
      <w:tr>
        <w:trPr>
          <w:cantSplit/>
        </w:trPr>
        <w:tc>
          <w:tcPr>
            <w:tcW w:type="dxa" w:w="8731"/>
            <w:tcMar>
              <w:top w:w="78" w:type="dxa"/>
              <w:start w:w="0" w:type="dxa"/>
              <w:bottom w:w="78" w:type="dxa"/>
              <w:end w:w="80" w:type="dxa"/>
            </w:tcMar>
          </w:tcPr>
          <w:p>
            <w:pPr>
              <w:spacing w:before="0" w:after="0" w:line="240" w:lineRule="auto"/>
            </w:pPr>
            <w:r>
              <w:rPr>
                <w:rFonts w:ascii="Inter" w:hAnsi="Inter" w:eastAsia="Inter"/>
                <w:b/>
                <w:color w:val="B87333"/>
                <w:sz w:val="16"/>
              </w:rPr>
              <w:t>21</w:t>
            </w:r>
            <w:r>
              <w:rPr>
                <w:rFonts w:ascii="Inter" w:hAnsi="Inter" w:eastAsia="Inter"/>
                <w:b/>
                <w:color w:val="20242A"/>
                <w:sz w:val="17"/>
              </w:rPr>
              <w:t xml:space="preserve">   MVP Definition</w:t>
            </w:r>
          </w:p>
        </w:tc>
        <w:tc>
          <w:tcPr>
            <w:tcW w:type="dxa" w:w="624"/>
            <w:tcMar>
              <w:top w:w="78" w:type="dxa"/>
              <w:start w:w="0" w:type="dxa"/>
              <w:bottom w:w="78" w:type="dxa"/>
              <w:end w:w="0" w:type="dxa"/>
            </w:tcMar>
          </w:tcPr>
          <w:p>
            <w:pPr>
              <w:spacing w:before="0" w:after="0" w:line="240" w:lineRule="auto"/>
              <w:jc w:val="right"/>
            </w:pPr>
            <w:r>
              <w:rPr>
                <w:b/>
              </w:rPr>
              <w:t>22</w:t>
            </w:r>
          </w:p>
        </w:tc>
      </w:tr>
      <w:tr>
        <w:trPr>
          <w:cantSplit/>
        </w:trPr>
        <w:tc>
          <w:tcPr>
            <w:tcW w:type="dxa" w:w="8731"/>
            <w:tcMar>
              <w:top w:w="78" w:type="dxa"/>
              <w:start w:w="0" w:type="dxa"/>
              <w:bottom w:w="78" w:type="dxa"/>
              <w:end w:w="80" w:type="dxa"/>
            </w:tcMar>
          </w:tcPr>
          <w:p>
            <w:pPr>
              <w:spacing w:before="0" w:after="0" w:line="240" w:lineRule="auto"/>
            </w:pPr>
            <w:r>
              <w:rPr>
                <w:rFonts w:ascii="Inter" w:hAnsi="Inter" w:eastAsia="Inter"/>
                <w:b/>
                <w:color w:val="B87333"/>
                <w:sz w:val="16"/>
              </w:rPr>
              <w:t>22</w:t>
            </w:r>
            <w:r>
              <w:rPr>
                <w:rFonts w:ascii="Inter" w:hAnsi="Inter" w:eastAsia="Inter"/>
                <w:b/>
                <w:color w:val="20242A"/>
                <w:sz w:val="17"/>
              </w:rPr>
              <w:t xml:space="preserve">   Testing Strategy</w:t>
            </w:r>
          </w:p>
        </w:tc>
        <w:tc>
          <w:tcPr>
            <w:tcW w:type="dxa" w:w="624"/>
            <w:tcMar>
              <w:top w:w="78" w:type="dxa"/>
              <w:start w:w="0" w:type="dxa"/>
              <w:bottom w:w="78" w:type="dxa"/>
              <w:end w:w="0" w:type="dxa"/>
            </w:tcMar>
          </w:tcPr>
          <w:p>
            <w:pPr>
              <w:spacing w:before="0" w:after="0" w:line="240" w:lineRule="auto"/>
              <w:jc w:val="right"/>
            </w:pPr>
            <w:r>
              <w:rPr>
                <w:b/>
              </w:rPr>
              <w:t>23</w:t>
            </w:r>
          </w:p>
        </w:tc>
      </w:tr>
      <w:tr>
        <w:trPr>
          <w:cantSplit/>
        </w:trPr>
        <w:tc>
          <w:tcPr>
            <w:tcW w:type="dxa" w:w="8731"/>
            <w:tcMar>
              <w:top w:w="78" w:type="dxa"/>
              <w:start w:w="0" w:type="dxa"/>
              <w:bottom w:w="78" w:type="dxa"/>
              <w:end w:w="80" w:type="dxa"/>
            </w:tcMar>
          </w:tcPr>
          <w:p>
            <w:pPr>
              <w:spacing w:before="0" w:after="0" w:line="240" w:lineRule="auto"/>
            </w:pPr>
            <w:r>
              <w:rPr>
                <w:rFonts w:ascii="Inter" w:hAnsi="Inter" w:eastAsia="Inter"/>
                <w:b/>
                <w:color w:val="B87333"/>
                <w:sz w:val="16"/>
              </w:rPr>
              <w:t>23</w:t>
            </w:r>
            <w:r>
              <w:rPr>
                <w:rFonts w:ascii="Inter" w:hAnsi="Inter" w:eastAsia="Inter"/>
                <w:b/>
                <w:color w:val="20242A"/>
                <w:sz w:val="17"/>
              </w:rPr>
              <w:t xml:space="preserve">   Deployment Strategy</w:t>
            </w:r>
          </w:p>
        </w:tc>
        <w:tc>
          <w:tcPr>
            <w:tcW w:type="dxa" w:w="624"/>
            <w:tcMar>
              <w:top w:w="78" w:type="dxa"/>
              <w:start w:w="0" w:type="dxa"/>
              <w:bottom w:w="78" w:type="dxa"/>
              <w:end w:w="0" w:type="dxa"/>
            </w:tcMar>
          </w:tcPr>
          <w:p>
            <w:pPr>
              <w:spacing w:before="0" w:after="0" w:line="240" w:lineRule="auto"/>
              <w:jc w:val="right"/>
            </w:pPr>
            <w:r>
              <w:rPr>
                <w:b/>
              </w:rPr>
              <w:t>23</w:t>
            </w:r>
          </w:p>
        </w:tc>
      </w:tr>
      <w:tr>
        <w:trPr>
          <w:cantSplit/>
        </w:trPr>
        <w:tc>
          <w:tcPr>
            <w:tcW w:type="dxa" w:w="8731"/>
            <w:tcMar>
              <w:top w:w="78" w:type="dxa"/>
              <w:start w:w="0" w:type="dxa"/>
              <w:bottom w:w="78" w:type="dxa"/>
              <w:end w:w="80" w:type="dxa"/>
            </w:tcMar>
          </w:tcPr>
          <w:p>
            <w:pPr>
              <w:spacing w:before="0" w:after="0" w:line="240" w:lineRule="auto"/>
            </w:pPr>
            <w:r>
              <w:rPr>
                <w:rFonts w:ascii="Inter" w:hAnsi="Inter" w:eastAsia="Inter"/>
                <w:b/>
                <w:color w:val="B87333"/>
                <w:sz w:val="16"/>
              </w:rPr>
              <w:t>24</w:t>
            </w:r>
            <w:r>
              <w:rPr>
                <w:rFonts w:ascii="Inter" w:hAnsi="Inter" w:eastAsia="Inter"/>
                <w:b/>
                <w:color w:val="20242A"/>
                <w:sz w:val="17"/>
              </w:rPr>
              <w:t xml:space="preserve">   Future Enhancements</w:t>
            </w:r>
          </w:p>
        </w:tc>
        <w:tc>
          <w:tcPr>
            <w:tcW w:type="dxa" w:w="624"/>
            <w:tcMar>
              <w:top w:w="78" w:type="dxa"/>
              <w:start w:w="0" w:type="dxa"/>
              <w:bottom w:w="78" w:type="dxa"/>
              <w:end w:w="0" w:type="dxa"/>
            </w:tcMar>
          </w:tcPr>
          <w:p>
            <w:pPr>
              <w:spacing w:before="0" w:after="0" w:line="240" w:lineRule="auto"/>
              <w:jc w:val="right"/>
            </w:pPr>
            <w:r>
              <w:rPr>
                <w:b/>
              </w:rPr>
              <w:t>24</w:t>
            </w:r>
          </w:p>
        </w:tc>
      </w:tr>
      <w:tr>
        <w:trPr>
          <w:cantSplit/>
        </w:trPr>
        <w:tc>
          <w:tcPr>
            <w:tcW w:type="dxa" w:w="8731"/>
            <w:tcMar>
              <w:top w:w="78" w:type="dxa"/>
              <w:start w:w="0" w:type="dxa"/>
              <w:bottom w:w="78" w:type="dxa"/>
              <w:end w:w="80" w:type="dxa"/>
            </w:tcMar>
          </w:tcPr>
          <w:p>
            <w:pPr>
              <w:spacing w:before="0" w:after="0" w:line="240" w:lineRule="auto"/>
            </w:pPr>
            <w:r>
              <w:rPr>
                <w:rFonts w:ascii="Inter" w:hAnsi="Inter" w:eastAsia="Inter"/>
                <w:b/>
                <w:color w:val="B87333"/>
                <w:sz w:val="16"/>
              </w:rPr>
              <w:t>25</w:t>
            </w:r>
            <w:r>
              <w:rPr>
                <w:rFonts w:ascii="Inter" w:hAnsi="Inter" w:eastAsia="Inter"/>
                <w:b/>
                <w:color w:val="20242A"/>
                <w:sz w:val="17"/>
              </w:rPr>
              <w:t xml:space="preserve">   Success Metrics</w:t>
            </w:r>
          </w:p>
        </w:tc>
        <w:tc>
          <w:tcPr>
            <w:tcW w:type="dxa" w:w="624"/>
            <w:tcMar>
              <w:top w:w="78" w:type="dxa"/>
              <w:start w:w="0" w:type="dxa"/>
              <w:bottom w:w="78" w:type="dxa"/>
              <w:end w:w="0" w:type="dxa"/>
            </w:tcMar>
          </w:tcPr>
          <w:p>
            <w:pPr>
              <w:spacing w:before="0" w:after="0" w:line="240" w:lineRule="auto"/>
              <w:jc w:val="right"/>
            </w:pPr>
            <w:r>
              <w:rPr>
                <w:b/>
              </w:rPr>
              <w:t>25</w:t>
            </w:r>
          </w:p>
        </w:tc>
      </w:tr>
      <w:tr>
        <w:trPr>
          <w:cantSplit/>
        </w:trPr>
        <w:tc>
          <w:tcPr>
            <w:tcW w:type="dxa" w:w="8731"/>
            <w:tcMar>
              <w:top w:w="78" w:type="dxa"/>
              <w:start w:w="0" w:type="dxa"/>
              <w:bottom w:w="78" w:type="dxa"/>
              <w:end w:w="80" w:type="dxa"/>
            </w:tcMar>
          </w:tcPr>
          <w:p>
            <w:pPr>
              <w:spacing w:before="0" w:after="0" w:line="240" w:lineRule="auto"/>
            </w:pPr>
            <w:r>
              <w:rPr>
                <w:rFonts w:ascii="Inter" w:hAnsi="Inter" w:eastAsia="Inter"/>
                <w:b/>
                <w:color w:val="B87333"/>
                <w:sz w:val="16"/>
              </w:rPr>
              <w:t>26</w:t>
            </w:r>
            <w:r>
              <w:rPr>
                <w:rFonts w:ascii="Inter" w:hAnsi="Inter" w:eastAsia="Inter"/>
                <w:b/>
                <w:color w:val="20242A"/>
                <w:sz w:val="17"/>
              </w:rPr>
              <w:t xml:space="preserve">   Risks and Assumptions</w:t>
            </w:r>
          </w:p>
        </w:tc>
        <w:tc>
          <w:tcPr>
            <w:tcW w:type="dxa" w:w="624"/>
            <w:tcMar>
              <w:top w:w="78" w:type="dxa"/>
              <w:start w:w="0" w:type="dxa"/>
              <w:bottom w:w="78" w:type="dxa"/>
              <w:end w:w="0" w:type="dxa"/>
            </w:tcMar>
          </w:tcPr>
          <w:p>
            <w:pPr>
              <w:spacing w:before="0" w:after="0" w:line="240" w:lineRule="auto"/>
              <w:jc w:val="right"/>
            </w:pPr>
            <w:r>
              <w:rPr>
                <w:b/>
              </w:rPr>
              <w:t>26</w:t>
            </w:r>
          </w:p>
        </w:tc>
      </w:tr>
      <w:tr>
        <w:trPr>
          <w:cantSplit/>
        </w:trPr>
        <w:tc>
          <w:tcPr>
            <w:tcW w:type="dxa" w:w="8731"/>
            <w:tcMar>
              <w:top w:w="78" w:type="dxa"/>
              <w:start w:w="0" w:type="dxa"/>
              <w:bottom w:w="78" w:type="dxa"/>
              <w:end w:w="80" w:type="dxa"/>
            </w:tcMar>
          </w:tcPr>
          <w:p>
            <w:pPr>
              <w:spacing w:before="0" w:after="0" w:line="240" w:lineRule="auto"/>
            </w:pPr>
            <w:r>
              <w:rPr>
                <w:rFonts w:ascii="Inter" w:hAnsi="Inter" w:eastAsia="Inter"/>
                <w:b/>
                <w:color w:val="B87333"/>
                <w:sz w:val="16"/>
              </w:rPr>
              <w:t>27</w:t>
            </w:r>
            <w:r>
              <w:rPr>
                <w:rFonts w:ascii="Inter" w:hAnsi="Inter" w:eastAsia="Inter"/>
                <w:b/>
                <w:color w:val="20242A"/>
                <w:sz w:val="17"/>
              </w:rPr>
              <w:t xml:space="preserve">   Portfolio and Business Value</w:t>
            </w:r>
          </w:p>
        </w:tc>
        <w:tc>
          <w:tcPr>
            <w:tcW w:type="dxa" w:w="624"/>
            <w:tcMar>
              <w:top w:w="78" w:type="dxa"/>
              <w:start w:w="0" w:type="dxa"/>
              <w:bottom w:w="78" w:type="dxa"/>
              <w:end w:w="0" w:type="dxa"/>
            </w:tcMar>
          </w:tcPr>
          <w:p>
            <w:pPr>
              <w:spacing w:before="0" w:after="0" w:line="240" w:lineRule="auto"/>
              <w:jc w:val="right"/>
            </w:pPr>
            <w:r>
              <w:rPr>
                <w:b/>
              </w:rPr>
              <w:t>27</w:t>
            </w:r>
          </w:p>
        </w:tc>
      </w:tr>
    </w:tbl>
    <w:p>
      <w:pPr>
        <w:pStyle w:val="Heading2"/>
        <w:keepNext/>
        <w:spacing w:before="140" w:after="60" w:line="269" w:lineRule="auto"/>
      </w:pPr>
      <w:r>
        <w:rPr>
          <w:rFonts w:ascii="Inter Display" w:hAnsi="Inter Display" w:eastAsia="Inter Display"/>
          <w:b/>
          <w:color w:val="7B0F22"/>
          <w:sz w:val="23"/>
        </w:rPr>
        <w:t>Document conventions</w:t>
      </w:r>
    </w:p>
    <w:p>
      <w:pPr>
        <w:pStyle w:val="BodyText"/>
        <w:spacing w:before="0" w:after="100" w:line="269" w:lineRule="auto"/>
      </w:pPr>
      <w:r>
        <w:rPr>
          <w:rFonts w:ascii="Inter" w:hAnsi="Inter" w:eastAsia="Inter"/>
          <w:i w:val="0"/>
          <w:color w:val="20242A"/>
        </w:rPr>
        <w:t>“MVP” means the first release that is sufficiently complete, stable and polished to demonstrate to a client as a credible product. “P1/P2” identify post-MVP priorities, not promises of immediate delivery. Performance figures are engineering targets to validate through benchmarks, not guaranteed runtime claims.</w:t>
      </w:r>
    </w:p>
    <w:p>
      <w:r>
        <w:br w:type="page"/>
      </w:r>
    </w:p>
    <w:p>
      <w:pPr>
        <w:pStyle w:val="Heading1"/>
        <w:keepNext/>
        <w:spacing w:before="200" w:after="80" w:line="269" w:lineRule="auto"/>
      </w:pPr>
      <w:r>
        <w:rPr>
          <w:rFonts w:ascii="Inter Display" w:hAnsi="Inter Display" w:eastAsia="Inter Display"/>
          <w:b/>
          <w:color w:val="B87333"/>
          <w:sz w:val="22"/>
        </w:rPr>
        <w:t>01</w:t>
      </w:r>
      <w:r>
        <w:rPr>
          <w:rFonts w:ascii="Inter Display" w:hAnsi="Inter Display" w:eastAsia="Inter Display"/>
          <w:b/>
          <w:color w:val="5A0F1A"/>
          <w:sz w:val="36"/>
        </w:rPr>
        <w:t xml:space="preserve">  Product Overview</w:t>
      </w:r>
    </w:p>
    <w:p>
      <w:pPr>
        <w:spacing w:before="0" w:after="140" w:line="269" w:lineRule="auto"/>
      </w:pPr>
      <w:r>
        <w:rPr>
          <w:rFonts w:ascii="Inter" w:hAnsi="Inter" w:eastAsia="Inter"/>
          <w:i/>
          <w:color w:val="667085"/>
          <w:sz w:val="18"/>
        </w:rPr>
        <w:t>What AridentFlow is, what it is not, and the business decision it exists to improve.</w:t>
      </w:r>
    </w:p>
    <w:p>
      <w:pPr>
        <w:spacing w:before="0" w:after="140" w:line="269" w:lineRule="auto"/>
        <w:pBdr>
          <w:bottom w:val="single" w:sz="7" w:space="1" w:color="C9B2B5"/>
        </w:pBdr>
      </w:pPr>
    </w:p>
    <w:p>
      <w:pPr>
        <w:pStyle w:val="BodyText"/>
        <w:spacing w:before="0" w:after="100" w:line="269" w:lineRule="auto"/>
      </w:pPr>
      <w:r>
        <w:rPr>
          <w:rFonts w:ascii="Inter" w:hAnsi="Inter" w:eastAsia="Inter"/>
          <w:i w:val="0"/>
          <w:color w:val="20242A"/>
        </w:rPr>
        <w:t>AridentFlow is a local-first business process simulation and optimization studio for teams that need to understand how a workflow is likely to perform before changing it in the real world. It combines process modeling, quantitative assumptions, stochastic simulation, analytics and scenario comparison in one browser-based workspace.</w:t>
      </w:r>
    </w:p>
    <w:p>
      <w:pPr>
        <w:pStyle w:val="BodyText"/>
        <w:spacing w:before="0" w:after="100" w:line="269" w:lineRule="auto"/>
      </w:pPr>
      <w:r>
        <w:rPr>
          <w:rFonts w:ascii="Inter" w:hAnsi="Inter" w:eastAsia="Inter"/>
          <w:i w:val="0"/>
          <w:color w:val="20242A"/>
        </w:rPr>
        <w:t>A user can model a process such as purchase approval, employee onboarding, customer support escalation or claims handling; attach duration, cost, SLA and routing assumptions; run thousands of reproducible simulation cases; and identify which activities or paths contribute most to delay, cost or service risk.</w:t>
      </w:r>
    </w:p>
    <w:tbl>
      <w:tblPr>
        <w:tblW w:type="auto" w:w="0"/>
        <w:jc w:val="center"/>
        <w:tblLayout w:type="autofit"/>
        <w:tblLook w:firstColumn="1" w:firstRow="1" w:lastColumn="0" w:lastRow="0" w:noHBand="0" w:noVBand="1" w:val="04A0"/>
      </w:tblPr>
      <w:tblGrid>
        <w:gridCol w:w="10092"/>
      </w:tblGrid>
      <w:tr>
        <w:trPr>
          <w:cantSplit/>
        </w:trPr>
        <w:tc>
          <w:tcPr>
            <w:tcW w:type="dxa" w:w="10092"/>
            <w:shd w:fill="F7F2F1"/>
            <w:tcMar>
              <w:top w:w="120" w:type="dxa"/>
              <w:start w:w="180" w:type="dxa"/>
              <w:bottom w:w="120" w:type="dxa"/>
              <w:end w:w="180" w:type="dxa"/>
            </w:tcMar>
            <w:tcBorders>
              <w:top w:val="nil"/>
              <w:left w:val="single" w:sz="20" w:color="5A0F1A"/>
              <w:bottom w:val="nil"/>
              <w:right w:val="nil"/>
            </w:tcBorders>
          </w:tcPr>
          <w:p>
            <w:pPr>
              <w:spacing w:before="0" w:after="60" w:line="269" w:lineRule="auto"/>
            </w:pPr>
            <w:r>
              <w:rPr>
                <w:rFonts w:ascii="Inter" w:hAnsi="Inter" w:eastAsia="Inter"/>
                <w:b/>
                <w:color w:val="5A0F1A"/>
                <w:sz w:val="16"/>
              </w:rPr>
              <w:t>PRODUCT CATEGORY</w:t>
            </w:r>
          </w:p>
          <w:p>
            <w:pPr>
              <w:spacing w:before="0" w:after="0" w:line="269" w:lineRule="auto"/>
            </w:pPr>
            <w:r>
              <w:rPr>
                <w:rFonts w:ascii="Inter" w:hAnsi="Inter" w:eastAsia="Inter"/>
                <w:color w:val="20242A"/>
                <w:sz w:val="18"/>
              </w:rPr>
              <w:t>AridentFlow is positioned as a process decision-support product — not as a generic diagramming tool and not as a workflow execution engine.</w:t>
            </w:r>
          </w:p>
        </w:tc>
      </w:tr>
    </w:tbl>
    <w:p>
      <w:pPr>
        <w:spacing w:after="0"/>
      </w:pPr>
    </w:p>
    <w:p>
      <w:r>
        <w:drawing>
          <wp:inline xmlns:a="http://schemas.openxmlformats.org/drawingml/2006/main" xmlns:pic="http://schemas.openxmlformats.org/drawingml/2006/picture">
            <wp:extent cx="6120000" cy="1462000"/>
            <wp:docPr id="1" name="Picture 1"/>
            <wp:cNvGraphicFramePr>
              <a:graphicFrameLocks noChangeAspect="1"/>
            </wp:cNvGraphicFramePr>
            <a:graphic>
              <a:graphicData uri="http://schemas.openxmlformats.org/drawingml/2006/picture">
                <pic:pic>
                  <pic:nvPicPr>
                    <pic:cNvPr id="0" name="product_loop.png"/>
                    <pic:cNvPicPr/>
                  </pic:nvPicPr>
                  <pic:blipFill>
                    <a:blip r:embed="rId11"/>
                    <a:stretch>
                      <a:fillRect/>
                    </a:stretch>
                  </pic:blipFill>
                  <pic:spPr>
                    <a:xfrm>
                      <a:off x="0" y="0"/>
                      <a:ext cx="6120000" cy="1462000"/>
                    </a:xfrm>
                    <a:prstGeom prst="rect"/>
                  </pic:spPr>
                </pic:pic>
              </a:graphicData>
            </a:graphic>
          </wp:inline>
        </w:drawing>
      </w:r>
    </w:p>
    <w:p>
      <w:pPr>
        <w:spacing w:before="40" w:after="120" w:line="269" w:lineRule="auto"/>
        <w:jc w:val="center"/>
      </w:pPr>
      <w:r>
        <w:rPr>
          <w:rFonts w:ascii="Inter" w:hAnsi="Inter" w:eastAsia="Inter"/>
          <w:i/>
          <w:color w:val="667085"/>
          <w:sz w:val="15"/>
        </w:rPr>
        <w:t>Figure 1. AridentFlow’s core product loop.</w:t>
      </w:r>
    </w:p>
    <w:p>
      <w:pPr>
        <w:pStyle w:val="Heading2"/>
        <w:keepNext/>
        <w:spacing w:before="140" w:after="60" w:line="269" w:lineRule="auto"/>
      </w:pPr>
      <w:r>
        <w:rPr>
          <w:rFonts w:ascii="Inter Display" w:hAnsi="Inter Display" w:eastAsia="Inter Display"/>
          <w:b/>
          <w:color w:val="7B0F22"/>
          <w:sz w:val="23"/>
        </w:rPr>
        <w:t>Primary product outcome</w:t>
      </w:r>
    </w:p>
    <w:p>
      <w:pPr>
        <w:pStyle w:val="BodyText"/>
        <w:spacing w:before="0" w:after="100" w:line="269" w:lineRule="auto"/>
      </w:pPr>
      <w:r>
        <w:rPr>
          <w:rFonts w:ascii="Inter" w:hAnsi="Inter" w:eastAsia="Inter"/>
          <w:i w:val="0"/>
          <w:color w:val="20242A"/>
        </w:rPr>
        <w:t>The product should allow a stakeholder to answer, with evidence: “If we change this part of the process, what is the expected operational impact?”</w:t>
      </w:r>
    </w:p>
    <w:tbl>
      <w:tblPr>
        <w:tblW w:type="auto" w:w="0"/>
        <w:jc w:val="center"/>
        <w:tblLook w:firstColumn="1" w:firstRow="1" w:lastColumn="0" w:lastRow="0" w:noHBand="0" w:noVBand="1" w:val="04A0"/>
      </w:tblPr>
      <w:tblGrid>
        <w:gridCol w:w="2523"/>
        <w:gridCol w:w="2523"/>
        <w:gridCol w:w="2523"/>
        <w:gridCol w:w="2523"/>
      </w:tblGrid>
      <w:tr>
        <w:tc>
          <w:tcPr>
            <w:tcW w:type="dxa" w:w="2523"/>
            <w:tcBorders>
              <w:top w:val="single" w:sz="4" w:color="D8D1D0"/>
              <w:left w:val="single" w:sz="4" w:color="D8D1D0"/>
              <w:bottom w:val="single" w:sz="4" w:color="D8D1D0"/>
              <w:right w:val="single" w:sz="4" w:color="D8D1D0"/>
            </w:tcBorders>
            <w:shd w:fill="F7F2F1"/>
            <w:tcMar>
              <w:top w:w="130" w:type="dxa"/>
              <w:start w:w="120" w:type="dxa"/>
              <w:bottom w:w="130" w:type="dxa"/>
              <w:end w:w="120" w:type="dxa"/>
            </w:tcMar>
          </w:tcPr>
          <w:p>
            <w:pPr>
              <w:spacing w:before="0" w:after="20" w:line="269" w:lineRule="auto"/>
              <w:jc w:val="center"/>
            </w:pPr>
            <w:r>
              <w:rPr>
                <w:rFonts w:ascii="Inter Display" w:hAnsi="Inter Display" w:eastAsia="Inter Display"/>
                <w:b/>
                <w:color w:val="5A0F1A"/>
                <w:sz w:val="30"/>
              </w:rPr>
              <w:t>P50 / P95</w:t>
            </w:r>
          </w:p>
          <w:p>
            <w:pPr>
              <w:spacing w:before="0" w:after="20" w:line="269" w:lineRule="auto"/>
              <w:jc w:val="center"/>
            </w:pPr>
            <w:r>
              <w:rPr>
                <w:rFonts w:ascii="Inter" w:hAnsi="Inter" w:eastAsia="Inter"/>
                <w:b/>
                <w:color w:val="B87333"/>
                <w:sz w:val="15"/>
              </w:rPr>
              <w:t>CYCLE TIME</w:t>
            </w:r>
          </w:p>
          <w:p>
            <w:pPr>
              <w:spacing w:before="0" w:after="0" w:line="240" w:lineRule="auto"/>
              <w:jc w:val="center"/>
            </w:pPr>
            <w:r>
              <w:rPr>
                <w:rFonts w:ascii="Inter" w:hAnsi="Inter" w:eastAsia="Inter"/>
                <w:color w:val="475467"/>
                <w:sz w:val="15"/>
              </w:rPr>
              <w:t>Understand expected and tail completion time.</w:t>
            </w:r>
          </w:p>
        </w:tc>
        <w:tc>
          <w:tcPr>
            <w:tcW w:type="dxa" w:w="2523"/>
            <w:tcBorders>
              <w:top w:val="single" w:sz="4" w:color="D8D1D0"/>
              <w:left w:val="single" w:sz="4" w:color="D8D1D0"/>
              <w:bottom w:val="single" w:sz="4" w:color="D8D1D0"/>
              <w:right w:val="single" w:sz="4" w:color="D8D1D0"/>
            </w:tcBorders>
            <w:shd w:fill="FBF7EE"/>
            <w:tcMar>
              <w:top w:w="130" w:type="dxa"/>
              <w:start w:w="120" w:type="dxa"/>
              <w:bottom w:w="130" w:type="dxa"/>
              <w:end w:w="120" w:type="dxa"/>
            </w:tcMar>
          </w:tcPr>
          <w:p>
            <w:pPr>
              <w:spacing w:before="0" w:after="20" w:line="269" w:lineRule="auto"/>
              <w:jc w:val="center"/>
            </w:pPr>
            <w:r>
              <w:rPr>
                <w:rFonts w:ascii="Inter Display" w:hAnsi="Inter Display" w:eastAsia="Inter Display"/>
                <w:b/>
                <w:color w:val="5A0F1A"/>
                <w:sz w:val="30"/>
              </w:rPr>
              <w:t>Compliance %</w:t>
            </w:r>
          </w:p>
          <w:p>
            <w:pPr>
              <w:spacing w:before="0" w:after="20" w:line="269" w:lineRule="auto"/>
              <w:jc w:val="center"/>
            </w:pPr>
            <w:r>
              <w:rPr>
                <w:rFonts w:ascii="Inter" w:hAnsi="Inter" w:eastAsia="Inter"/>
                <w:b/>
                <w:color w:val="B87333"/>
                <w:sz w:val="15"/>
              </w:rPr>
              <w:t>SLA</w:t>
            </w:r>
          </w:p>
          <w:p>
            <w:pPr>
              <w:spacing w:before="0" w:after="0" w:line="240" w:lineRule="auto"/>
              <w:jc w:val="center"/>
            </w:pPr>
            <w:r>
              <w:rPr>
                <w:rFonts w:ascii="Inter" w:hAnsi="Inter" w:eastAsia="Inter"/>
                <w:color w:val="475467"/>
                <w:sz w:val="15"/>
              </w:rPr>
              <w:t>Quantify the probability of meeting a target.</w:t>
            </w:r>
          </w:p>
        </w:tc>
        <w:tc>
          <w:tcPr>
            <w:tcW w:type="dxa" w:w="2523"/>
            <w:tcBorders>
              <w:top w:val="single" w:sz="4" w:color="D8D1D0"/>
              <w:left w:val="single" w:sz="4" w:color="D8D1D0"/>
              <w:bottom w:val="single" w:sz="4" w:color="D8D1D0"/>
              <w:right w:val="single" w:sz="4" w:color="D8D1D0"/>
            </w:tcBorders>
            <w:shd w:fill="F7F2F1"/>
            <w:tcMar>
              <w:top w:w="130" w:type="dxa"/>
              <w:start w:w="120" w:type="dxa"/>
              <w:bottom w:w="130" w:type="dxa"/>
              <w:end w:w="120" w:type="dxa"/>
            </w:tcMar>
          </w:tcPr>
          <w:p>
            <w:pPr>
              <w:spacing w:before="0" w:after="20" w:line="269" w:lineRule="auto"/>
              <w:jc w:val="center"/>
            </w:pPr>
            <w:r>
              <w:rPr>
                <w:rFonts w:ascii="Inter Display" w:hAnsi="Inter Display" w:eastAsia="Inter Display"/>
                <w:b/>
                <w:color w:val="5A0F1A"/>
                <w:sz w:val="30"/>
              </w:rPr>
              <w:t>Expected value</w:t>
            </w:r>
          </w:p>
          <w:p>
            <w:pPr>
              <w:spacing w:before="0" w:after="20" w:line="269" w:lineRule="auto"/>
              <w:jc w:val="center"/>
            </w:pPr>
            <w:r>
              <w:rPr>
                <w:rFonts w:ascii="Inter" w:hAnsi="Inter" w:eastAsia="Inter"/>
                <w:b/>
                <w:color w:val="B87333"/>
                <w:sz w:val="15"/>
              </w:rPr>
              <w:t>COST</w:t>
            </w:r>
          </w:p>
          <w:p>
            <w:pPr>
              <w:spacing w:before="0" w:after="0" w:line="240" w:lineRule="auto"/>
              <w:jc w:val="center"/>
            </w:pPr>
            <w:r>
              <w:rPr>
                <w:rFonts w:ascii="Inter" w:hAnsi="Inter" w:eastAsia="Inter"/>
                <w:color w:val="475467"/>
                <w:sz w:val="15"/>
              </w:rPr>
              <w:t>Compare operational cost across scenarios.</w:t>
            </w:r>
          </w:p>
        </w:tc>
        <w:tc>
          <w:tcPr>
            <w:tcW w:type="dxa" w:w="2523"/>
            <w:tcBorders>
              <w:top w:val="single" w:sz="4" w:color="D8D1D0"/>
              <w:left w:val="single" w:sz="4" w:color="D8D1D0"/>
              <w:bottom w:val="single" w:sz="4" w:color="D8D1D0"/>
              <w:right w:val="single" w:sz="4" w:color="D8D1D0"/>
            </w:tcBorders>
            <w:shd w:fill="FBF7EE"/>
            <w:tcMar>
              <w:top w:w="130" w:type="dxa"/>
              <w:start w:w="120" w:type="dxa"/>
              <w:bottom w:w="130" w:type="dxa"/>
              <w:end w:w="120" w:type="dxa"/>
            </w:tcMar>
          </w:tcPr>
          <w:p>
            <w:pPr>
              <w:spacing w:before="0" w:after="20" w:line="269" w:lineRule="auto"/>
              <w:jc w:val="center"/>
            </w:pPr>
            <w:r>
              <w:rPr>
                <w:rFonts w:ascii="Inter Display" w:hAnsi="Inter Display" w:eastAsia="Inter Display"/>
                <w:b/>
                <w:color w:val="5A0F1A"/>
                <w:sz w:val="30"/>
              </w:rPr>
              <w:t>Ranked</w:t>
            </w:r>
          </w:p>
          <w:p>
            <w:pPr>
              <w:spacing w:before="0" w:after="20" w:line="269" w:lineRule="auto"/>
              <w:jc w:val="center"/>
            </w:pPr>
            <w:r>
              <w:rPr>
                <w:rFonts w:ascii="Inter" w:hAnsi="Inter" w:eastAsia="Inter"/>
                <w:b/>
                <w:color w:val="B87333"/>
                <w:sz w:val="15"/>
              </w:rPr>
              <w:t>BOTTLENECK</w:t>
            </w:r>
          </w:p>
          <w:p>
            <w:pPr>
              <w:spacing w:before="0" w:after="0" w:line="240" w:lineRule="auto"/>
              <w:jc w:val="center"/>
            </w:pPr>
            <w:r>
              <w:rPr>
                <w:rFonts w:ascii="Inter" w:hAnsi="Inter" w:eastAsia="Inter"/>
                <w:color w:val="475467"/>
                <w:sz w:val="15"/>
              </w:rPr>
              <w:t>Show where improvement effort has leverage.</w:t>
            </w:r>
          </w:p>
        </w:tc>
      </w:tr>
    </w:tbl>
    <w:p>
      <w:pPr>
        <w:spacing w:after="0"/>
      </w:pPr>
    </w:p>
    <w:p>
      <w:pPr>
        <w:pStyle w:val="Heading2"/>
        <w:keepNext/>
        <w:spacing w:before="140" w:after="60" w:line="269" w:lineRule="auto"/>
      </w:pPr>
      <w:r>
        <w:rPr>
          <w:rFonts w:ascii="Inter Display" w:hAnsi="Inter Display" w:eastAsia="Inter Display"/>
          <w:b/>
          <w:color w:val="7B0F22"/>
          <w:sz w:val="23"/>
        </w:rPr>
        <w:t>Product boundaries</w:t>
      </w:r>
    </w:p>
    <w:p>
      <w:pPr>
        <w:pStyle w:val="ListBullet"/>
        <w:spacing w:before="0" w:after="48" w:line="259" w:lineRule="auto"/>
      </w:pPr>
      <w:r>
        <w:rPr>
          <w:rFonts w:ascii="Inter" w:hAnsi="Inter" w:eastAsia="Inter"/>
          <w:color w:val="20242A"/>
          <w:sz w:val="18"/>
        </w:rPr>
        <w:t>AridentFlow models and simulates process behavior; it does not execute production workflows.</w:t>
      </w:r>
    </w:p>
    <w:p>
      <w:pPr>
        <w:pStyle w:val="ListBullet"/>
        <w:spacing w:before="0" w:after="48" w:line="259" w:lineRule="auto"/>
      </w:pPr>
      <w:r>
        <w:rPr>
          <w:rFonts w:ascii="Inter" w:hAnsi="Inter" w:eastAsia="Inter"/>
          <w:color w:val="20242A"/>
          <w:sz w:val="18"/>
        </w:rPr>
        <w:t>The MVP runs in the browser and stores project data locally; cloud accounts and collaboration are intentionally absent.</w:t>
      </w:r>
    </w:p>
    <w:p>
      <w:pPr>
        <w:pStyle w:val="ListBullet"/>
        <w:spacing w:before="0" w:after="48" w:line="259" w:lineRule="auto"/>
      </w:pPr>
      <w:r>
        <w:rPr>
          <w:rFonts w:ascii="Inter" w:hAnsi="Inter" w:eastAsia="Inter"/>
          <w:color w:val="20242A"/>
          <w:sz w:val="18"/>
        </w:rPr>
        <w:t>BPMN is used as a familiar modeling notation, while simulation semantics are explicitly defined by AridentFlow and validated before execution.</w:t>
      </w:r>
    </w:p>
    <w:p>
      <w:pPr>
        <w:pStyle w:val="ListBullet"/>
        <w:spacing w:before="0" w:after="48" w:line="259" w:lineRule="auto"/>
      </w:pPr>
      <w:r>
        <w:rPr>
          <w:rFonts w:ascii="Inter" w:hAnsi="Inter" w:eastAsia="Inter"/>
          <w:color w:val="20242A"/>
          <w:sz w:val="18"/>
        </w:rPr>
        <w:t>The first release emphasizes explainable quantitative insight rather than opaque AI recommendations.</w:t>
      </w:r>
    </w:p>
    <w:p>
      <w:pPr>
        <w:pStyle w:val="Heading1"/>
        <w:keepNext/>
        <w:spacing w:before="200" w:after="80" w:line="269" w:lineRule="auto"/>
      </w:pPr>
      <w:r>
        <w:rPr>
          <w:rFonts w:ascii="Inter Display" w:hAnsi="Inter Display" w:eastAsia="Inter Display"/>
          <w:b/>
          <w:color w:val="B87333"/>
          <w:sz w:val="22"/>
        </w:rPr>
        <w:t>02</w:t>
      </w:r>
      <w:r>
        <w:rPr>
          <w:rFonts w:ascii="Inter Display" w:hAnsi="Inter Display" w:eastAsia="Inter Display"/>
          <w:b/>
          <w:color w:val="5A0F1A"/>
          <w:sz w:val="36"/>
        </w:rPr>
        <w:t xml:space="preserve">  Vision and Mission</w:t>
      </w:r>
    </w:p>
    <w:p>
      <w:pPr>
        <w:spacing w:before="0" w:after="140" w:line="269" w:lineRule="auto"/>
      </w:pPr>
      <w:r>
        <w:rPr>
          <w:rFonts w:ascii="Inter" w:hAnsi="Inter" w:eastAsia="Inter"/>
          <w:i/>
          <w:color w:val="667085"/>
          <w:sz w:val="18"/>
        </w:rPr>
        <w:t>The long-term ambition and the near-term product promise.</w:t>
      </w:r>
    </w:p>
    <w:p>
      <w:pPr>
        <w:spacing w:before="0" w:after="140" w:line="269" w:lineRule="auto"/>
        <w:pBdr>
          <w:bottom w:val="single" w:sz="7" w:space="1" w:color="C9B2B5"/>
        </w:pBdr>
      </w:pPr>
    </w:p>
    <w:p>
      <w:pPr>
        <w:pStyle w:val="Heading2"/>
        <w:keepNext/>
        <w:spacing w:before="140" w:after="60" w:line="269" w:lineRule="auto"/>
      </w:pPr>
      <w:r>
        <w:rPr>
          <w:rFonts w:ascii="Inter Display" w:hAnsi="Inter Display" w:eastAsia="Inter Display"/>
          <w:b/>
          <w:color w:val="7B0F22"/>
          <w:sz w:val="23"/>
        </w:rPr>
        <w:t>Vision</w:t>
      </w:r>
    </w:p>
    <w:tbl>
      <w:tblPr>
        <w:tblW w:type="auto" w:w="0"/>
        <w:jc w:val="center"/>
        <w:tblLayout w:type="autofit"/>
        <w:tblLook w:firstColumn="1" w:firstRow="1" w:lastColumn="0" w:lastRow="0" w:noHBand="0" w:noVBand="1" w:val="04A0"/>
      </w:tblPr>
      <w:tblGrid>
        <w:gridCol w:w="10092"/>
      </w:tblGrid>
      <w:tr>
        <w:trPr>
          <w:cantSplit/>
        </w:trPr>
        <w:tc>
          <w:tcPr>
            <w:tcW w:type="dxa" w:w="10092"/>
            <w:shd w:fill="FBF7EE"/>
            <w:tcMar>
              <w:top w:w="120" w:type="dxa"/>
              <w:start w:w="180" w:type="dxa"/>
              <w:bottom w:w="120" w:type="dxa"/>
              <w:end w:w="180" w:type="dxa"/>
            </w:tcMar>
            <w:tcBorders>
              <w:top w:val="nil"/>
              <w:left w:val="single" w:sz="20" w:color="B87333"/>
              <w:bottom w:val="nil"/>
              <w:right w:val="nil"/>
            </w:tcBorders>
          </w:tcPr>
          <w:p>
            <w:pPr>
              <w:spacing w:before="0" w:after="60" w:line="269" w:lineRule="auto"/>
            </w:pPr>
            <w:r>
              <w:rPr>
                <w:rFonts w:ascii="Inter" w:hAnsi="Inter" w:eastAsia="Inter"/>
                <w:b/>
                <w:color w:val="B87333"/>
                <w:sz w:val="16"/>
              </w:rPr>
              <w:t>VISION</w:t>
            </w:r>
          </w:p>
          <w:p>
            <w:pPr>
              <w:spacing w:before="0" w:after="0" w:line="269" w:lineRule="auto"/>
            </w:pPr>
            <w:r>
              <w:rPr>
                <w:rFonts w:ascii="Inter" w:hAnsi="Inter" w:eastAsia="Inter"/>
                <w:color w:val="20242A"/>
                <w:sz w:val="18"/>
              </w:rPr>
              <w:t>Make process intelligence accessible enough that business and technology teams can test operational decisions before implementing them.</w:t>
            </w:r>
          </w:p>
        </w:tc>
      </w:tr>
    </w:tbl>
    <w:p>
      <w:pPr>
        <w:spacing w:after="0"/>
      </w:pPr>
    </w:p>
    <w:p>
      <w:pPr>
        <w:pStyle w:val="Heading2"/>
        <w:keepNext/>
        <w:spacing w:before="140" w:after="60" w:line="269" w:lineRule="auto"/>
      </w:pPr>
      <w:r>
        <w:rPr>
          <w:rFonts w:ascii="Inter Display" w:hAnsi="Inter Display" w:eastAsia="Inter Display"/>
          <w:b/>
          <w:color w:val="7B0F22"/>
          <w:sz w:val="23"/>
        </w:rPr>
        <w:t>Mission</w:t>
      </w:r>
    </w:p>
    <w:p>
      <w:pPr>
        <w:pStyle w:val="BodyText"/>
        <w:spacing w:before="0" w:after="100" w:line="269" w:lineRule="auto"/>
      </w:pPr>
      <w:r>
        <w:rPr>
          <w:rFonts w:ascii="Inter" w:hAnsi="Inter" w:eastAsia="Inter"/>
          <w:i w:val="0"/>
          <w:color w:val="20242A"/>
        </w:rPr>
        <w:t>Provide a fast, trustworthy and privacy-conscious environment for modeling work, experimenting with assumptions, understanding operational constraints and communicating the expected impact of process improvements.</w:t>
      </w:r>
    </w:p>
    <w:p>
      <w:pPr>
        <w:pStyle w:val="Heading2"/>
        <w:keepNext/>
        <w:spacing w:before="140" w:after="60" w:line="269" w:lineRule="auto"/>
      </w:pPr>
      <w:r>
        <w:rPr>
          <w:rFonts w:ascii="Inter Display" w:hAnsi="Inter Display" w:eastAsia="Inter Display"/>
          <w:b/>
          <w:color w:val="7B0F22"/>
          <w:sz w:val="23"/>
        </w:rPr>
        <w:t>Strategic principles</w:t>
      </w:r>
    </w:p>
    <w:tbl>
      <w:tblPr>
        <w:tblStyle w:val="TableGrid"/>
        <w:tblW w:type="auto" w:w="0"/>
        <w:jc w:val="center"/>
        <w:tblLook w:firstColumn="1" w:firstRow="1" w:lastColumn="0" w:lastRow="0" w:noHBand="0" w:noVBand="1" w:val="04A0"/>
      </w:tblPr>
      <w:tblGrid>
        <w:gridCol w:w="5046"/>
        <w:gridCol w:w="5046"/>
      </w:tblGrid>
      <w:tr>
        <w:trPr>
          <w:tblHeader w:val="true"/>
        </w:trPr>
        <w:tc>
          <w:tcPr>
            <w:tcW w:type="dxa" w:w="2381"/>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Principle</w:t>
            </w:r>
          </w:p>
        </w:tc>
        <w:tc>
          <w:tcPr>
            <w:tcW w:type="dxa" w:w="6973"/>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Meaning in AridentFlow</w:t>
            </w:r>
          </w:p>
        </w:tc>
      </w:tr>
      <w:tr>
        <w:trPr>
          <w:cantSplit/>
        </w:trPr>
        <w:tc>
          <w:tcPr>
            <w:tcW w:type="dxa" w:w="2381"/>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Explainable by design</w:t>
            </w:r>
          </w:p>
        </w:tc>
        <w:tc>
          <w:tcPr>
            <w:tcW w:type="dxa" w:w="6973"/>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Every score, warning and comparison should be traceable to process configuration and simulation results.</w:t>
            </w:r>
          </w:p>
        </w:tc>
      </w:tr>
      <w:tr>
        <w:trPr>
          <w:cantSplit/>
        </w:trPr>
        <w:tc>
          <w:tcPr>
            <w:tcW w:type="dxa" w:w="2381"/>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Private by default</w:t>
            </w:r>
          </w:p>
        </w:tc>
        <w:tc>
          <w:tcPr>
            <w:tcW w:type="dxa" w:w="6973"/>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The core product does not require business process data to be uploaded to an AridentFlow application server.</w:t>
            </w:r>
          </w:p>
        </w:tc>
      </w:tr>
      <w:tr>
        <w:trPr>
          <w:cantSplit/>
        </w:trPr>
        <w:tc>
          <w:tcPr>
            <w:tcW w:type="dxa" w:w="2381"/>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Standards-aware, scope-disciplined</w:t>
            </w:r>
          </w:p>
        </w:tc>
        <w:tc>
          <w:tcPr>
            <w:tcW w:type="dxa" w:w="6973"/>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Use BPMN-oriented modeling without pretending to support the entire executable BPMN specification.</w:t>
            </w:r>
          </w:p>
        </w:tc>
      </w:tr>
      <w:tr>
        <w:trPr>
          <w:cantSplit/>
        </w:trPr>
        <w:tc>
          <w:tcPr>
            <w:tcW w:type="dxa" w:w="2381"/>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Progressive intelligence</w:t>
            </w:r>
          </w:p>
        </w:tc>
        <w:tc>
          <w:tcPr>
            <w:tcW w:type="dxa" w:w="6973"/>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Start with deterministic rules and simulation; add advanced optimization and AI only when they improve a validated workflow.</w:t>
            </w:r>
          </w:p>
        </w:tc>
      </w:tr>
      <w:tr>
        <w:trPr>
          <w:cantSplit/>
        </w:trPr>
        <w:tc>
          <w:tcPr>
            <w:tcW w:type="dxa" w:w="2381"/>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Portable architecture</w:t>
            </w:r>
          </w:p>
        </w:tc>
        <w:tc>
          <w:tcPr>
            <w:tcW w:type="dxa" w:w="6973"/>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Keep the simulation/domain layer independent so it can later run in browser, worker, server, desktop or CLI contexts.</w:t>
            </w:r>
          </w:p>
        </w:tc>
      </w:tr>
    </w:tbl>
    <w:p>
      <w:pPr>
        <w:spacing w:after="0"/>
      </w:pPr>
    </w:p>
    <w:p>
      <w:pPr>
        <w:pStyle w:val="Heading1"/>
        <w:keepNext/>
        <w:spacing w:before="200" w:after="80" w:line="269" w:lineRule="auto"/>
      </w:pPr>
      <w:r>
        <w:rPr>
          <w:rFonts w:ascii="Inter Display" w:hAnsi="Inter Display" w:eastAsia="Inter Display"/>
          <w:b/>
          <w:color w:val="B87333"/>
          <w:sz w:val="22"/>
        </w:rPr>
        <w:t>03</w:t>
      </w:r>
      <w:r>
        <w:rPr>
          <w:rFonts w:ascii="Inter Display" w:hAnsi="Inter Display" w:eastAsia="Inter Display"/>
          <w:b/>
          <w:color w:val="5A0F1A"/>
          <w:sz w:val="36"/>
        </w:rPr>
        <w:t xml:space="preserve">  Problem Statement</w:t>
      </w:r>
    </w:p>
    <w:p>
      <w:pPr>
        <w:spacing w:before="0" w:after="140" w:line="269" w:lineRule="auto"/>
      </w:pPr>
      <w:r>
        <w:rPr>
          <w:rFonts w:ascii="Inter" w:hAnsi="Inter" w:eastAsia="Inter"/>
          <w:i/>
          <w:color w:val="667085"/>
          <w:sz w:val="18"/>
        </w:rPr>
        <w:t>Why static process documentation is insufficient for operational decision-making.</w:t>
      </w:r>
    </w:p>
    <w:p>
      <w:pPr>
        <w:spacing w:before="0" w:after="140" w:line="269" w:lineRule="auto"/>
        <w:pBdr>
          <w:bottom w:val="single" w:sz="7" w:space="1" w:color="C9B2B5"/>
        </w:pBdr>
      </w:pPr>
    </w:p>
    <w:p>
      <w:pPr>
        <w:pStyle w:val="BodyText"/>
        <w:spacing w:before="0" w:after="100" w:line="269" w:lineRule="auto"/>
      </w:pPr>
      <w:r>
        <w:rPr>
          <w:rFonts w:ascii="Inter" w:hAnsi="Inter" w:eastAsia="Inter"/>
          <w:i w:val="0"/>
          <w:color w:val="20242A"/>
        </w:rPr>
        <w:t>Organizations frequently document workflows in BPMN diagrams, flowcharts, SOPs, spreadsheets, Visio or presentation slides. These artifacts explain sequence and responsibility, but usually do not quantify how the process behaves under uncertainty.</w:t>
      </w:r>
    </w:p>
    <w:p>
      <w:pPr>
        <w:pStyle w:val="Heading2"/>
        <w:keepNext/>
        <w:spacing w:before="140" w:after="60" w:line="269" w:lineRule="auto"/>
      </w:pPr>
      <w:r>
        <w:rPr>
          <w:rFonts w:ascii="Inter Display" w:hAnsi="Inter Display" w:eastAsia="Inter Display"/>
          <w:b/>
          <w:color w:val="7B0F22"/>
          <w:sz w:val="23"/>
        </w:rPr>
        <w:t>Observable business pain</w:t>
      </w:r>
    </w:p>
    <w:p>
      <w:pPr>
        <w:pStyle w:val="ListBullet"/>
        <w:spacing w:before="0" w:after="48" w:line="259" w:lineRule="auto"/>
      </w:pPr>
      <w:r>
        <w:rPr>
          <w:rFonts w:ascii="Inter" w:hAnsi="Inter" w:eastAsia="Inter"/>
          <w:color w:val="20242A"/>
          <w:sz w:val="18"/>
        </w:rPr>
        <w:t>Teams know where activities occur but cannot estimate the distribution of end-to-end completion time.</w:t>
      </w:r>
    </w:p>
    <w:p>
      <w:pPr>
        <w:pStyle w:val="ListBullet"/>
        <w:spacing w:before="0" w:after="48" w:line="259" w:lineRule="auto"/>
      </w:pPr>
      <w:r>
        <w:rPr>
          <w:rFonts w:ascii="Inter" w:hAnsi="Inter" w:eastAsia="Inter"/>
          <w:color w:val="20242A"/>
          <w:sz w:val="18"/>
        </w:rPr>
        <w:t>Improvement proposals are debated using averages, anecdotes or intuition rather than scenario evidence.</w:t>
      </w:r>
    </w:p>
    <w:p>
      <w:pPr>
        <w:pStyle w:val="ListBullet"/>
        <w:spacing w:before="0" w:after="48" w:line="259" w:lineRule="auto"/>
      </w:pPr>
      <w:r>
        <w:rPr>
          <w:rFonts w:ascii="Inter" w:hAnsi="Inter" w:eastAsia="Inter"/>
          <w:color w:val="20242A"/>
          <w:sz w:val="18"/>
        </w:rPr>
        <w:t>Bottlenecks are often identified only after a process is deployed or after SLA failures become visible.</w:t>
      </w:r>
    </w:p>
    <w:p>
      <w:pPr>
        <w:pStyle w:val="ListBullet"/>
        <w:spacing w:before="0" w:after="48" w:line="259" w:lineRule="auto"/>
      </w:pPr>
      <w:r>
        <w:rPr>
          <w:rFonts w:ascii="Inter" w:hAnsi="Inter" w:eastAsia="Inter"/>
          <w:color w:val="20242A"/>
          <w:sz w:val="18"/>
        </w:rPr>
        <w:t>Cost, rework and branch probability are documented separately from the process model, making analysis fragmented.</w:t>
      </w:r>
    </w:p>
    <w:p>
      <w:pPr>
        <w:pStyle w:val="ListBullet"/>
        <w:spacing w:before="0" w:after="48" w:line="259" w:lineRule="auto"/>
      </w:pPr>
      <w:r>
        <w:rPr>
          <w:rFonts w:ascii="Inter" w:hAnsi="Inter" w:eastAsia="Inter"/>
          <w:color w:val="20242A"/>
          <w:sz w:val="18"/>
        </w:rPr>
        <w:t>Consultants and analysts spend significant effort translating raw process information into client-ready findings.</w:t>
      </w:r>
    </w:p>
    <w:p>
      <w:pPr>
        <w:pStyle w:val="ListBullet"/>
        <w:spacing w:before="0" w:after="48" w:line="259" w:lineRule="auto"/>
      </w:pPr>
      <w:r>
        <w:rPr>
          <w:rFonts w:ascii="Inter" w:hAnsi="Inter" w:eastAsia="Inter"/>
          <w:color w:val="20242A"/>
          <w:sz w:val="18"/>
        </w:rPr>
        <w:t>Sensitive operational models may be unsuitable for casual upload to external SaaS tools.</w:t>
      </w:r>
    </w:p>
    <w:p>
      <w:pPr>
        <w:pStyle w:val="Heading2"/>
        <w:keepNext/>
        <w:spacing w:before="140" w:after="60" w:line="269" w:lineRule="auto"/>
      </w:pPr>
      <w:r>
        <w:rPr>
          <w:rFonts w:ascii="Inter Display" w:hAnsi="Inter Display" w:eastAsia="Inter Display"/>
          <w:b/>
          <w:color w:val="7B0F22"/>
          <w:sz w:val="23"/>
        </w:rPr>
        <w:t>Core problem to solve</w:t>
      </w:r>
    </w:p>
    <w:tbl>
      <w:tblPr>
        <w:tblW w:type="auto" w:w="0"/>
        <w:jc w:val="center"/>
        <w:tblLayout w:type="autofit"/>
        <w:tblLook w:firstColumn="1" w:firstRow="1" w:lastColumn="0" w:lastRow="0" w:noHBand="0" w:noVBand="1" w:val="04A0"/>
      </w:tblPr>
      <w:tblGrid>
        <w:gridCol w:w="10092"/>
      </w:tblGrid>
      <w:tr>
        <w:trPr>
          <w:cantSplit/>
        </w:trPr>
        <w:tc>
          <w:tcPr>
            <w:tcW w:type="dxa" w:w="10092"/>
            <w:shd w:fill="F7F2F1"/>
            <w:tcMar>
              <w:top w:w="120" w:type="dxa"/>
              <w:start w:w="180" w:type="dxa"/>
              <w:bottom w:w="120" w:type="dxa"/>
              <w:end w:w="180" w:type="dxa"/>
            </w:tcMar>
            <w:tcBorders>
              <w:top w:val="nil"/>
              <w:left w:val="single" w:sz="20" w:color="5A0F1A"/>
              <w:bottom w:val="nil"/>
              <w:right w:val="nil"/>
            </w:tcBorders>
          </w:tcPr>
          <w:p>
            <w:pPr>
              <w:spacing w:before="0" w:after="60" w:line="269" w:lineRule="auto"/>
            </w:pPr>
            <w:r>
              <w:rPr>
                <w:rFonts w:ascii="Inter" w:hAnsi="Inter" w:eastAsia="Inter"/>
                <w:b/>
                <w:color w:val="5A0F1A"/>
                <w:sz w:val="16"/>
              </w:rPr>
              <w:t>PROBLEM STATEMENT</w:t>
            </w:r>
          </w:p>
          <w:p>
            <w:pPr>
              <w:spacing w:before="0" w:after="0" w:line="269" w:lineRule="auto"/>
            </w:pPr>
            <w:r>
              <w:rPr>
                <w:rFonts w:ascii="Inter" w:hAnsi="Inter" w:eastAsia="Inter"/>
                <w:color w:val="20242A"/>
                <w:sz w:val="18"/>
              </w:rPr>
              <w:t>Business teams can visualize how work is structured, but they lack a lightweight way to quantify how that work is likely to perform — and to compare process changes before investing in implementation.</w:t>
            </w:r>
          </w:p>
        </w:tc>
      </w:tr>
    </w:tbl>
    <w:p>
      <w:pPr>
        <w:spacing w:after="0"/>
      </w:pPr>
    </w:p>
    <w:p>
      <w:pPr>
        <w:pStyle w:val="Heading2"/>
        <w:keepNext/>
        <w:spacing w:before="140" w:after="60" w:line="269" w:lineRule="auto"/>
      </w:pPr>
      <w:r>
        <w:rPr>
          <w:rFonts w:ascii="Inter Display" w:hAnsi="Inter Display" w:eastAsia="Inter Display"/>
          <w:b/>
          <w:color w:val="7B0F22"/>
          <w:sz w:val="23"/>
        </w:rPr>
        <w:t>Why this is commercially relevant</w:t>
      </w:r>
    </w:p>
    <w:p>
      <w:pPr>
        <w:pStyle w:val="BodyText"/>
        <w:spacing w:before="0" w:after="100" w:line="269" w:lineRule="auto"/>
      </w:pPr>
      <w:r>
        <w:rPr>
          <w:rFonts w:ascii="Inter" w:hAnsi="Inter" w:eastAsia="Inter"/>
          <w:i w:val="0"/>
          <w:color w:val="20242A"/>
        </w:rPr>
        <w:t>Operational improvement decisions affect staffing, automation budgets, service levels and customer experience. Even a compact simulator creates value when it helps a team reject a low-impact change, prioritize a high-impact activity, or communicate why a proposed design is likely to improve SLA performance.</w:t>
      </w:r>
    </w:p>
    <w:p>
      <w:pPr>
        <w:pStyle w:val="Heading1"/>
        <w:keepNext/>
        <w:spacing w:before="200" w:after="80" w:line="269" w:lineRule="auto"/>
      </w:pPr>
      <w:r>
        <w:rPr>
          <w:rFonts w:ascii="Inter Display" w:hAnsi="Inter Display" w:eastAsia="Inter Display"/>
          <w:b/>
          <w:color w:val="B87333"/>
          <w:sz w:val="22"/>
        </w:rPr>
        <w:t>04</w:t>
      </w:r>
      <w:r>
        <w:rPr>
          <w:rFonts w:ascii="Inter Display" w:hAnsi="Inter Display" w:eastAsia="Inter Display"/>
          <w:b/>
          <w:color w:val="5A0F1A"/>
          <w:sz w:val="36"/>
        </w:rPr>
        <w:t xml:space="preserve">  Value Proposition</w:t>
      </w:r>
    </w:p>
    <w:p>
      <w:pPr>
        <w:spacing w:before="0" w:after="140" w:line="269" w:lineRule="auto"/>
      </w:pPr>
      <w:r>
        <w:rPr>
          <w:rFonts w:ascii="Inter" w:hAnsi="Inter" w:eastAsia="Inter"/>
          <w:i/>
          <w:color w:val="667085"/>
          <w:sz w:val="18"/>
        </w:rPr>
        <w:t>The concrete reasons a business user should choose AridentFlow over static analysis.</w:t>
      </w:r>
    </w:p>
    <w:p>
      <w:pPr>
        <w:spacing w:before="0" w:after="140" w:line="269" w:lineRule="auto"/>
        <w:pBdr>
          <w:bottom w:val="single" w:sz="7" w:space="1" w:color="C9B2B5"/>
        </w:pBdr>
      </w:pP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2098"/>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Value pillar</w:t>
            </w:r>
          </w:p>
        </w:tc>
        <w:tc>
          <w:tcPr>
            <w:tcW w:type="dxa" w:w="3628"/>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User benefit</w:t>
            </w:r>
          </w:p>
        </w:tc>
        <w:tc>
          <w:tcPr>
            <w:tcW w:type="dxa" w:w="3628"/>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Product evidence</w:t>
            </w:r>
          </w:p>
        </w:tc>
      </w:tr>
      <w:tr>
        <w:trPr>
          <w:cantSplit/>
        </w:trPr>
        <w:tc>
          <w:tcPr>
            <w:tcW w:type="dxa" w:w="2098"/>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Quantify before changing</w:t>
            </w:r>
          </w:p>
        </w:tc>
        <w:tc>
          <w:tcPr>
            <w:tcW w:type="dxa" w:w="362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Test process changes without altering live operations.</w:t>
            </w:r>
          </w:p>
        </w:tc>
        <w:tc>
          <w:tcPr>
            <w:tcW w:type="dxa" w:w="362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Scenario comparison, percentiles, SLA and cost deltas</w:t>
            </w:r>
          </w:p>
        </w:tc>
      </w:tr>
      <w:tr>
        <w:trPr>
          <w:cantSplit/>
        </w:trPr>
        <w:tc>
          <w:tcPr>
            <w:tcW w:type="dxa" w:w="2098"/>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See the real constraint</w:t>
            </w:r>
          </w:p>
        </w:tc>
        <w:tc>
          <w:tcPr>
            <w:tcW w:type="dxa" w:w="362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Move beyond visual intuition to contribution-based bottleneck analysis.</w:t>
            </w:r>
          </w:p>
        </w:tc>
        <w:tc>
          <w:tcPr>
            <w:tcW w:type="dxa" w:w="362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Task/path contribution, branch frequency, tail latency</w:t>
            </w:r>
          </w:p>
        </w:tc>
      </w:tr>
      <w:tr>
        <w:trPr>
          <w:cantSplit/>
        </w:trPr>
        <w:tc>
          <w:tcPr>
            <w:tcW w:type="dxa" w:w="2098"/>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Keep sensitive models local</w:t>
            </w:r>
          </w:p>
        </w:tc>
        <w:tc>
          <w:tcPr>
            <w:tcW w:type="dxa" w:w="362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Use core functionality without creating an account or uploading process data.</w:t>
            </w:r>
          </w:p>
        </w:tc>
        <w:tc>
          <w:tcPr>
            <w:tcW w:type="dxa" w:w="362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IndexedDB persistence, browser simulation, local export</w:t>
            </w:r>
          </w:p>
        </w:tc>
      </w:tr>
      <w:tr>
        <w:trPr>
          <w:cantSplit/>
        </w:trPr>
        <w:tc>
          <w:tcPr>
            <w:tcW w:type="dxa" w:w="2098"/>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Communicate decisions clearly</w:t>
            </w:r>
          </w:p>
        </w:tc>
        <w:tc>
          <w:tcPr>
            <w:tcW w:type="dxa" w:w="362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Turn a technical process model into business-friendly evidence.</w:t>
            </w:r>
          </w:p>
        </w:tc>
        <w:tc>
          <w:tcPr>
            <w:tcW w:type="dxa" w:w="362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Executive summary, visual comparisons, printable report</w:t>
            </w:r>
          </w:p>
        </w:tc>
      </w:tr>
      <w:tr>
        <w:trPr>
          <w:cantSplit/>
        </w:trPr>
        <w:tc>
          <w:tcPr>
            <w:tcW w:type="dxa" w:w="2098"/>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Repeat the experiment</w:t>
            </w:r>
          </w:p>
        </w:tc>
        <w:tc>
          <w:tcPr>
            <w:tcW w:type="dxa" w:w="362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Reproduce a simulation rather than relying on a one-off random result.</w:t>
            </w:r>
          </w:p>
        </w:tc>
        <w:tc>
          <w:tcPr>
            <w:tcW w:type="dxa" w:w="362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Seeded pseudo-random execution and configuration fingerprints</w:t>
            </w:r>
          </w:p>
        </w:tc>
      </w:tr>
    </w:tbl>
    <w:p>
      <w:pPr>
        <w:spacing w:after="0"/>
      </w:pPr>
    </w:p>
    <w:p>
      <w:pPr>
        <w:pStyle w:val="Heading2"/>
        <w:keepNext/>
        <w:spacing w:before="140" w:after="60" w:line="269" w:lineRule="auto"/>
      </w:pPr>
      <w:r>
        <w:rPr>
          <w:rFonts w:ascii="Inter Display" w:hAnsi="Inter Display" w:eastAsia="Inter Display"/>
          <w:b/>
          <w:color w:val="7B0F22"/>
          <w:sz w:val="23"/>
        </w:rPr>
        <w:t>Positioning statement</w:t>
      </w:r>
    </w:p>
    <w:tbl>
      <w:tblPr>
        <w:tblW w:type="auto" w:w="0"/>
        <w:jc w:val="center"/>
        <w:tblLayout w:type="autofit"/>
        <w:tblLook w:firstColumn="1" w:firstRow="1" w:lastColumn="0" w:lastRow="0" w:noHBand="0" w:noVBand="1" w:val="04A0"/>
      </w:tblPr>
      <w:tblGrid>
        <w:gridCol w:w="10092"/>
      </w:tblGrid>
      <w:tr>
        <w:trPr>
          <w:cantSplit/>
        </w:trPr>
        <w:tc>
          <w:tcPr>
            <w:tcW w:type="dxa" w:w="10092"/>
            <w:shd w:fill="FBF7EE"/>
            <w:tcMar>
              <w:top w:w="120" w:type="dxa"/>
              <w:start w:w="180" w:type="dxa"/>
              <w:bottom w:w="120" w:type="dxa"/>
              <w:end w:w="180" w:type="dxa"/>
            </w:tcMar>
            <w:tcBorders>
              <w:top w:val="nil"/>
              <w:left w:val="single" w:sz="20" w:color="B87333"/>
              <w:bottom w:val="nil"/>
              <w:right w:val="nil"/>
            </w:tcBorders>
          </w:tcPr>
          <w:p>
            <w:pPr>
              <w:spacing w:before="0" w:after="60" w:line="269" w:lineRule="auto"/>
            </w:pPr>
            <w:r>
              <w:rPr>
                <w:rFonts w:ascii="Inter" w:hAnsi="Inter" w:eastAsia="Inter"/>
                <w:b/>
                <w:color w:val="B87333"/>
                <w:sz w:val="16"/>
              </w:rPr>
              <w:t>POSITIONING</w:t>
            </w:r>
          </w:p>
          <w:p>
            <w:pPr>
              <w:spacing w:before="0" w:after="0" w:line="269" w:lineRule="auto"/>
            </w:pPr>
            <w:r>
              <w:rPr>
                <w:rFonts w:ascii="Inter" w:hAnsi="Inter" w:eastAsia="Inter"/>
                <w:color w:val="20242A"/>
                <w:sz w:val="18"/>
              </w:rPr>
              <w:t>For business analysts, operations leaders and process-improvement teams who need evidence before changing a workflow, AridentFlow is a process simulation and optimization studio that converts a visual process into reproducible operational scenarios — without requiring a backend for the core experience.</w:t>
            </w:r>
          </w:p>
        </w:tc>
      </w:tr>
    </w:tbl>
    <w:p>
      <w:pPr>
        <w:spacing w:after="0"/>
      </w:pPr>
    </w:p>
    <w:p>
      <w:pPr>
        <w:pStyle w:val="Heading2"/>
        <w:keepNext/>
        <w:spacing w:before="140" w:after="60" w:line="269" w:lineRule="auto"/>
      </w:pPr>
      <w:r>
        <w:rPr>
          <w:rFonts w:ascii="Inter Display" w:hAnsi="Inter Display" w:eastAsia="Inter Display"/>
          <w:b/>
          <w:color w:val="7B0F22"/>
          <w:sz w:val="23"/>
        </w:rPr>
        <w:t>What AridentFlow should not compete on</w:t>
      </w:r>
    </w:p>
    <w:p>
      <w:pPr>
        <w:pStyle w:val="ListBullet"/>
        <w:spacing w:before="0" w:after="48" w:line="259" w:lineRule="auto"/>
      </w:pPr>
      <w:r>
        <w:rPr>
          <w:rFonts w:ascii="Inter" w:hAnsi="Inter" w:eastAsia="Inter"/>
          <w:color w:val="20242A"/>
          <w:sz w:val="18"/>
        </w:rPr>
        <w:t>Maximum number of BPMN constructs.</w:t>
      </w:r>
    </w:p>
    <w:p>
      <w:pPr>
        <w:pStyle w:val="ListBullet"/>
        <w:spacing w:before="0" w:after="48" w:line="259" w:lineRule="auto"/>
      </w:pPr>
      <w:r>
        <w:rPr>
          <w:rFonts w:ascii="Inter" w:hAnsi="Inter" w:eastAsia="Inter"/>
          <w:color w:val="20242A"/>
          <w:sz w:val="18"/>
        </w:rPr>
        <w:t>Enterprise workflow execution or orchestration.</w:t>
      </w:r>
    </w:p>
    <w:p>
      <w:pPr>
        <w:pStyle w:val="ListBullet"/>
        <w:spacing w:before="0" w:after="48" w:line="259" w:lineRule="auto"/>
      </w:pPr>
      <w:r>
        <w:rPr>
          <w:rFonts w:ascii="Inter" w:hAnsi="Inter" w:eastAsia="Inter"/>
          <w:color w:val="20242A"/>
          <w:sz w:val="18"/>
        </w:rPr>
        <w:t>Real-time collaboration in the first release.</w:t>
      </w:r>
    </w:p>
    <w:p>
      <w:pPr>
        <w:pStyle w:val="ListBullet"/>
        <w:spacing w:before="0" w:after="48" w:line="259" w:lineRule="auto"/>
      </w:pPr>
      <w:r>
        <w:rPr>
          <w:rFonts w:ascii="Inter" w:hAnsi="Inter" w:eastAsia="Inter"/>
          <w:color w:val="20242A"/>
          <w:sz w:val="18"/>
        </w:rPr>
        <w:t>AI-generated recommendations as the primary value proposition.</w:t>
      </w:r>
    </w:p>
    <w:p>
      <w:pPr>
        <w:pStyle w:val="ListBullet"/>
        <w:spacing w:before="0" w:after="48" w:line="259" w:lineRule="auto"/>
      </w:pPr>
      <w:r>
        <w:rPr>
          <w:rFonts w:ascii="Inter" w:hAnsi="Inter" w:eastAsia="Inter"/>
          <w:color w:val="20242A"/>
          <w:sz w:val="18"/>
        </w:rPr>
        <w:t>Replacing mature process-mining suites at launch.</w:t>
      </w:r>
    </w:p>
    <w:p>
      <w:pPr>
        <w:pStyle w:val="Heading1"/>
        <w:keepNext/>
        <w:spacing w:before="200" w:after="80" w:line="269" w:lineRule="auto"/>
      </w:pPr>
      <w:r>
        <w:rPr>
          <w:rFonts w:ascii="Inter Display" w:hAnsi="Inter Display" w:eastAsia="Inter Display"/>
          <w:b/>
          <w:color w:val="B87333"/>
          <w:sz w:val="22"/>
        </w:rPr>
        <w:t>05</w:t>
      </w:r>
      <w:r>
        <w:rPr>
          <w:rFonts w:ascii="Inter Display" w:hAnsi="Inter Display" w:eastAsia="Inter Display"/>
          <w:b/>
          <w:color w:val="5A0F1A"/>
          <w:sz w:val="36"/>
        </w:rPr>
        <w:t xml:space="preserve">  Target Users</w:t>
      </w:r>
    </w:p>
    <w:p>
      <w:pPr>
        <w:spacing w:before="0" w:after="140" w:line="269" w:lineRule="auto"/>
      </w:pPr>
      <w:r>
        <w:rPr>
          <w:rFonts w:ascii="Inter" w:hAnsi="Inter" w:eastAsia="Inter"/>
          <w:i/>
          <w:color w:val="667085"/>
          <w:sz w:val="18"/>
        </w:rPr>
        <w:t>Who receives value, what they are trying to accomplish, and what they need from the product.</w:t>
      </w:r>
    </w:p>
    <w:p>
      <w:pPr>
        <w:spacing w:before="0" w:after="140" w:line="269" w:lineRule="auto"/>
        <w:pBdr>
          <w:bottom w:val="single" w:sz="7" w:space="1" w:color="C9B2B5"/>
        </w:pBdr>
      </w:pP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1928"/>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User</w:t>
            </w:r>
          </w:p>
        </w:tc>
        <w:tc>
          <w:tcPr>
            <w:tcW w:type="dxa" w:w="3515"/>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Primary job-to-be-done</w:t>
            </w:r>
          </w:p>
        </w:tc>
        <w:tc>
          <w:tcPr>
            <w:tcW w:type="dxa" w:w="3912"/>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AridentFlow value</w:t>
            </w:r>
          </w:p>
        </w:tc>
      </w:tr>
      <w:tr>
        <w:trPr>
          <w:cantSplit/>
        </w:trPr>
        <w:tc>
          <w:tcPr>
            <w:tcW w:type="dxa" w:w="1928"/>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Business Analyst</w:t>
            </w:r>
          </w:p>
        </w:tc>
        <w:tc>
          <w:tcPr>
            <w:tcW w:type="dxa" w:w="3515"/>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Model current/future process states and validate improvement hypotheses.</w:t>
            </w:r>
          </w:p>
        </w:tc>
        <w:tc>
          <w:tcPr>
            <w:tcW w:type="dxa" w:w="3912"/>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Visual modeler, assumptions, scenarios, evidence-ready findings</w:t>
            </w:r>
          </w:p>
        </w:tc>
      </w:tr>
      <w:tr>
        <w:trPr>
          <w:cantSplit/>
        </w:trPr>
        <w:tc>
          <w:tcPr>
            <w:tcW w:type="dxa" w:w="1928"/>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Operations Manager</w:t>
            </w:r>
          </w:p>
        </w:tc>
        <w:tc>
          <w:tcPr>
            <w:tcW w:type="dxa" w:w="3515"/>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Understand delays, service risk and improvement opportunities.</w:t>
            </w:r>
          </w:p>
        </w:tc>
        <w:tc>
          <w:tcPr>
            <w:tcW w:type="dxa" w:w="3912"/>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SLA metrics, bottleneck ranking, cycle-time distributions</w:t>
            </w:r>
          </w:p>
        </w:tc>
      </w:tr>
      <w:tr>
        <w:trPr>
          <w:cantSplit/>
        </w:trPr>
        <w:tc>
          <w:tcPr>
            <w:tcW w:type="dxa" w:w="1928"/>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Process Consultant</w:t>
            </w:r>
          </w:p>
        </w:tc>
        <w:tc>
          <w:tcPr>
            <w:tcW w:type="dxa" w:w="3515"/>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Run client workshops and communicate quantified recommendations.</w:t>
            </w:r>
          </w:p>
        </w:tc>
        <w:tc>
          <w:tcPr>
            <w:tcW w:type="dxa" w:w="3912"/>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Templates, scenario comparison, presentation-quality reporting</w:t>
            </w:r>
          </w:p>
        </w:tc>
      </w:tr>
      <w:tr>
        <w:trPr>
          <w:cantSplit/>
        </w:trPr>
        <w:tc>
          <w:tcPr>
            <w:tcW w:type="dxa" w:w="1928"/>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Transformation Lead</w:t>
            </w:r>
          </w:p>
        </w:tc>
        <w:tc>
          <w:tcPr>
            <w:tcW w:type="dxa" w:w="3515"/>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Prioritize process redesign and automation investments.</w:t>
            </w:r>
          </w:p>
        </w:tc>
        <w:tc>
          <w:tcPr>
            <w:tcW w:type="dxa" w:w="3912"/>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Baseline vs proposed impact, cost/time deltas, sensitivity roadmap</w:t>
            </w:r>
          </w:p>
        </w:tc>
      </w:tr>
      <w:tr>
        <w:trPr>
          <w:cantSplit/>
        </w:trPr>
        <w:tc>
          <w:tcPr>
            <w:tcW w:type="dxa" w:w="1928"/>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Solution Architect</w:t>
            </w:r>
          </w:p>
        </w:tc>
        <w:tc>
          <w:tcPr>
            <w:tcW w:type="dxa" w:w="3515"/>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Explain operational consequences of workflow/system design choices.</w:t>
            </w:r>
          </w:p>
        </w:tc>
        <w:tc>
          <w:tcPr>
            <w:tcW w:type="dxa" w:w="3912"/>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Standards-aware diagrams plus measurable simulation behavior</w:t>
            </w:r>
          </w:p>
        </w:tc>
      </w:tr>
      <w:tr>
        <w:trPr>
          <w:cantSplit/>
        </w:trPr>
        <w:tc>
          <w:tcPr>
            <w:tcW w:type="dxa" w:w="1928"/>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Automation Specialist</w:t>
            </w:r>
          </w:p>
        </w:tc>
        <w:tc>
          <w:tcPr>
            <w:tcW w:type="dxa" w:w="3515"/>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Identify repetitive/high-cost activities worth automating.</w:t>
            </w:r>
          </w:p>
        </w:tc>
        <w:tc>
          <w:tcPr>
            <w:tcW w:type="dxa" w:w="3912"/>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Task contribution, frequency and scenario-based impact analysis</w:t>
            </w:r>
          </w:p>
        </w:tc>
      </w:tr>
    </w:tbl>
    <w:p>
      <w:pPr>
        <w:spacing w:after="0"/>
      </w:pPr>
    </w:p>
    <w:p>
      <w:pPr>
        <w:pStyle w:val="Heading2"/>
        <w:keepNext/>
        <w:spacing w:before="140" w:after="60" w:line="269" w:lineRule="auto"/>
      </w:pPr>
      <w:r>
        <w:rPr>
          <w:rFonts w:ascii="Inter Display" w:hAnsi="Inter Display" w:eastAsia="Inter Display"/>
          <w:b/>
          <w:color w:val="7B0F22"/>
          <w:sz w:val="23"/>
        </w:rPr>
        <w:t>Primary MVP persona</w:t>
      </w:r>
    </w:p>
    <w:tbl>
      <w:tblPr>
        <w:tblW w:type="auto" w:w="0"/>
        <w:jc w:val="center"/>
        <w:tblLayout w:type="autofit"/>
        <w:tblLook w:firstColumn="1" w:firstRow="1" w:lastColumn="0" w:lastRow="0" w:noHBand="0" w:noVBand="1" w:val="04A0"/>
      </w:tblPr>
      <w:tblGrid>
        <w:gridCol w:w="10092"/>
      </w:tblGrid>
      <w:tr>
        <w:trPr>
          <w:cantSplit/>
        </w:trPr>
        <w:tc>
          <w:tcPr>
            <w:tcW w:type="dxa" w:w="10092"/>
            <w:shd w:fill="F7F2F1"/>
            <w:tcMar>
              <w:top w:w="120" w:type="dxa"/>
              <w:start w:w="180" w:type="dxa"/>
              <w:bottom w:w="120" w:type="dxa"/>
              <w:end w:w="180" w:type="dxa"/>
            </w:tcMar>
            <w:tcBorders>
              <w:top w:val="nil"/>
              <w:left w:val="single" w:sz="20" w:color="5A0F1A"/>
              <w:bottom w:val="nil"/>
              <w:right w:val="nil"/>
            </w:tcBorders>
          </w:tcPr>
          <w:p>
            <w:pPr>
              <w:spacing w:before="0" w:after="60" w:line="269" w:lineRule="auto"/>
            </w:pPr>
            <w:r>
              <w:rPr>
                <w:rFonts w:ascii="Inter" w:hAnsi="Inter" w:eastAsia="Inter"/>
                <w:b/>
                <w:color w:val="5A0F1A"/>
                <w:sz w:val="16"/>
              </w:rPr>
              <w:t>PRIMARY PERSONA</w:t>
            </w:r>
          </w:p>
          <w:p>
            <w:pPr>
              <w:spacing w:before="0" w:after="0" w:line="269" w:lineRule="auto"/>
            </w:pPr>
            <w:r>
              <w:rPr>
                <w:rFonts w:ascii="Inter" w:hAnsi="Inter" w:eastAsia="Inter"/>
                <w:color w:val="20242A"/>
                <w:sz w:val="18"/>
              </w:rPr>
              <w:t>A business/process analyst who can describe a workflow and its assumptions, needs to compare a baseline with a proposed improvement, and must communicate the result to a non-technical stakeholder.</w:t>
            </w:r>
          </w:p>
        </w:tc>
      </w:tr>
    </w:tbl>
    <w:p>
      <w:pPr>
        <w:spacing w:after="0"/>
      </w:pPr>
    </w:p>
    <w:p>
      <w:pPr>
        <w:pStyle w:val="Heading2"/>
        <w:keepNext/>
        <w:spacing w:before="140" w:after="60" w:line="269" w:lineRule="auto"/>
      </w:pPr>
      <w:r>
        <w:rPr>
          <w:rFonts w:ascii="Inter Display" w:hAnsi="Inter Display" w:eastAsia="Inter Display"/>
          <w:b/>
          <w:color w:val="7B0F22"/>
          <w:sz w:val="23"/>
        </w:rPr>
        <w:t>Usage context</w:t>
      </w:r>
    </w:p>
    <w:p>
      <w:pPr>
        <w:pStyle w:val="ListBullet"/>
        <w:spacing w:before="0" w:after="48" w:line="259" w:lineRule="auto"/>
      </w:pPr>
      <w:r>
        <w:rPr>
          <w:rFonts w:ascii="Inter" w:hAnsi="Inter" w:eastAsia="Inter"/>
          <w:color w:val="20242A"/>
          <w:sz w:val="18"/>
        </w:rPr>
        <w:t>Discovery and process-improvement workshops.</w:t>
      </w:r>
    </w:p>
    <w:p>
      <w:pPr>
        <w:pStyle w:val="ListBullet"/>
        <w:spacing w:before="0" w:after="48" w:line="259" w:lineRule="auto"/>
      </w:pPr>
      <w:r>
        <w:rPr>
          <w:rFonts w:ascii="Inter" w:hAnsi="Inter" w:eastAsia="Inter"/>
          <w:color w:val="20242A"/>
          <w:sz w:val="18"/>
        </w:rPr>
        <w:t>Pre-automation assessment.</w:t>
      </w:r>
    </w:p>
    <w:p>
      <w:pPr>
        <w:pStyle w:val="ListBullet"/>
        <w:spacing w:before="0" w:after="48" w:line="259" w:lineRule="auto"/>
      </w:pPr>
      <w:r>
        <w:rPr>
          <w:rFonts w:ascii="Inter" w:hAnsi="Inter" w:eastAsia="Inter"/>
          <w:color w:val="20242A"/>
          <w:sz w:val="18"/>
        </w:rPr>
        <w:t>Operational design reviews.</w:t>
      </w:r>
    </w:p>
    <w:p>
      <w:pPr>
        <w:pStyle w:val="ListBullet"/>
        <w:spacing w:before="0" w:after="48" w:line="259" w:lineRule="auto"/>
      </w:pPr>
      <w:r>
        <w:rPr>
          <w:rFonts w:ascii="Inter" w:hAnsi="Inter" w:eastAsia="Inter"/>
          <w:color w:val="20242A"/>
          <w:sz w:val="18"/>
        </w:rPr>
        <w:t>SLA root-cause discussions.</w:t>
      </w:r>
    </w:p>
    <w:p>
      <w:pPr>
        <w:pStyle w:val="ListBullet"/>
        <w:spacing w:before="0" w:after="48" w:line="259" w:lineRule="auto"/>
      </w:pPr>
      <w:r>
        <w:rPr>
          <w:rFonts w:ascii="Inter" w:hAnsi="Inter" w:eastAsia="Inter"/>
          <w:color w:val="20242A"/>
          <w:sz w:val="18"/>
        </w:rPr>
        <w:t>Consulting demonstrations and proposal support.</w:t>
      </w:r>
    </w:p>
    <w:p>
      <w:pPr>
        <w:pStyle w:val="ListBullet"/>
        <w:spacing w:before="0" w:after="48" w:line="259" w:lineRule="auto"/>
      </w:pPr>
      <w:r>
        <w:rPr>
          <w:rFonts w:ascii="Inter" w:hAnsi="Inter" w:eastAsia="Inter"/>
          <w:color w:val="20242A"/>
          <w:sz w:val="18"/>
        </w:rPr>
        <w:t>Architecture/design validation before implementation.</w:t>
      </w:r>
    </w:p>
    <w:p>
      <w:pPr>
        <w:pStyle w:val="Heading1"/>
        <w:keepNext/>
        <w:spacing w:before="200" w:after="80" w:line="269" w:lineRule="auto"/>
      </w:pPr>
      <w:r>
        <w:rPr>
          <w:rFonts w:ascii="Inter Display" w:hAnsi="Inter Display" w:eastAsia="Inter Display"/>
          <w:b/>
          <w:color w:val="B87333"/>
          <w:sz w:val="22"/>
        </w:rPr>
        <w:t>06</w:t>
      </w:r>
      <w:r>
        <w:rPr>
          <w:rFonts w:ascii="Inter Display" w:hAnsi="Inter Display" w:eastAsia="Inter Display"/>
          <w:b/>
          <w:color w:val="5A0F1A"/>
          <w:sz w:val="36"/>
        </w:rPr>
        <w:t xml:space="preserve">  Goals and Objectives</w:t>
      </w:r>
    </w:p>
    <w:p>
      <w:pPr>
        <w:spacing w:before="0" w:after="140" w:line="269" w:lineRule="auto"/>
      </w:pPr>
      <w:r>
        <w:rPr>
          <w:rFonts w:ascii="Inter" w:hAnsi="Inter" w:eastAsia="Inter"/>
          <w:i/>
          <w:color w:val="667085"/>
          <w:sz w:val="18"/>
        </w:rPr>
        <w:t>Product, engineering and portfolio outcomes for the first credible release.</w:t>
      </w:r>
    </w:p>
    <w:p>
      <w:pPr>
        <w:spacing w:before="0" w:after="140" w:line="269" w:lineRule="auto"/>
        <w:pBdr>
          <w:bottom w:val="single" w:sz="7" w:space="1" w:color="C9B2B5"/>
        </w:pBdr>
      </w:pP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794"/>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ID</w:t>
            </w:r>
          </w:p>
        </w:tc>
        <w:tc>
          <w:tcPr>
            <w:tcW w:type="dxa" w:w="2835"/>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Goal</w:t>
            </w:r>
          </w:p>
        </w:tc>
        <w:tc>
          <w:tcPr>
            <w:tcW w:type="dxa" w:w="5726"/>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Objective / evidence</w:t>
            </w:r>
          </w:p>
        </w:tc>
      </w:tr>
      <w:tr>
        <w:trPr>
          <w:cantSplit/>
        </w:trPr>
        <w:tc>
          <w:tcPr>
            <w:tcW w:type="dxa" w:w="794"/>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G1</w:t>
            </w:r>
          </w:p>
        </w:tc>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Deliver measurable business insight</w:t>
            </w:r>
          </w:p>
        </w:tc>
        <w:tc>
          <w:tcPr>
            <w:tcW w:type="dxa" w:w="5726"/>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A user can identify a bottleneck and quantify scenario improvement without external calculation.</w:t>
            </w:r>
          </w:p>
        </w:tc>
      </w:tr>
      <w:tr>
        <w:trPr>
          <w:cantSplit/>
        </w:trPr>
        <w:tc>
          <w:tcPr>
            <w:tcW w:type="dxa" w:w="794"/>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G2</w:t>
            </w:r>
          </w:p>
        </w:tc>
        <w:tc>
          <w:tcPr>
            <w:tcW w:type="dxa" w:w="2835"/>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Remain client-only where practical</w:t>
            </w:r>
          </w:p>
        </w:tc>
        <w:tc>
          <w:tcPr>
            <w:tcW w:type="dxa" w:w="5726"/>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Core modeling, simulation, persistence and analysis work without a backend API.</w:t>
            </w:r>
          </w:p>
        </w:tc>
      </w:tr>
      <w:tr>
        <w:trPr>
          <w:cantSplit/>
        </w:trPr>
        <w:tc>
          <w:tcPr>
            <w:tcW w:type="dxa" w:w="794"/>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G3</w:t>
            </w:r>
          </w:p>
        </w:tc>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Achieve enterprise-quality UX</w:t>
            </w:r>
          </w:p>
        </w:tc>
        <w:tc>
          <w:tcPr>
            <w:tcW w:type="dxa" w:w="5726"/>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Primary workflows have clear hierarchy, keyboard support, error guidance and responsive analytics.</w:t>
            </w:r>
          </w:p>
        </w:tc>
      </w:tr>
      <w:tr>
        <w:trPr>
          <w:cantSplit/>
        </w:trPr>
        <w:tc>
          <w:tcPr>
            <w:tcW w:type="dxa" w:w="794"/>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G4</w:t>
            </w:r>
          </w:p>
        </w:tc>
        <w:tc>
          <w:tcPr>
            <w:tcW w:type="dxa" w:w="2835"/>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Demonstrate senior engineering</w:t>
            </w:r>
          </w:p>
        </w:tc>
        <w:tc>
          <w:tcPr>
            <w:tcW w:type="dxa" w:w="5726"/>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Architecture visibly separates domain logic, application orchestration, adapters and UI.</w:t>
            </w:r>
          </w:p>
        </w:tc>
      </w:tr>
      <w:tr>
        <w:trPr>
          <w:cantSplit/>
        </w:trPr>
        <w:tc>
          <w:tcPr>
            <w:tcW w:type="dxa" w:w="794"/>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G5</w:t>
            </w:r>
          </w:p>
        </w:tc>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Avoid paid runtime dependencies</w:t>
            </w:r>
          </w:p>
        </w:tc>
        <w:tc>
          <w:tcPr>
            <w:tcW w:type="dxa" w:w="5726"/>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No paid API, database, authentication service or analytics platform is required for core functionality.</w:t>
            </w:r>
          </w:p>
        </w:tc>
      </w:tr>
      <w:tr>
        <w:trPr>
          <w:cantSplit/>
        </w:trPr>
        <w:tc>
          <w:tcPr>
            <w:tcW w:type="dxa" w:w="794"/>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G6</w:t>
            </w:r>
          </w:p>
        </w:tc>
        <w:tc>
          <w:tcPr>
            <w:tcW w:type="dxa" w:w="2835"/>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Preserve a credible SaaS evolution path</w:t>
            </w:r>
          </w:p>
        </w:tc>
        <w:tc>
          <w:tcPr>
            <w:tcW w:type="dxa" w:w="5726"/>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A backend/collaboration layer can be added later without rewriting the simulation domain.</w:t>
            </w:r>
          </w:p>
        </w:tc>
      </w:tr>
    </w:tbl>
    <w:p>
      <w:pPr>
        <w:spacing w:after="0"/>
      </w:pPr>
    </w:p>
    <w:p>
      <w:pPr>
        <w:pStyle w:val="Heading2"/>
        <w:keepNext/>
        <w:spacing w:before="140" w:after="60" w:line="269" w:lineRule="auto"/>
      </w:pPr>
      <w:r>
        <w:rPr>
          <w:rFonts w:ascii="Inter Display" w:hAnsi="Inter Display" w:eastAsia="Inter Display"/>
          <w:b/>
          <w:color w:val="7B0F22"/>
          <w:sz w:val="23"/>
        </w:rPr>
        <w:t>Release objectives</w:t>
      </w:r>
    </w:p>
    <w:p>
      <w:pPr>
        <w:spacing w:before="0" w:after="60" w:line="259" w:lineRule="auto"/>
        <w:ind w:left="351" w:hanging="238"/>
      </w:pPr>
      <w:r>
        <w:rPr>
          <w:rFonts w:ascii="Inter" w:hAnsi="Inter" w:eastAsia="Inter"/>
          <w:b/>
          <w:color w:val="B87333"/>
          <w:sz w:val="18"/>
        </w:rPr>
        <w:t>1.</w:t>
      </w:r>
      <w:r>
        <w:rPr>
          <w:rFonts w:ascii="Inter" w:hAnsi="Inter" w:eastAsia="Inter"/>
          <w:color w:val="20242A"/>
          <w:sz w:val="18"/>
        </w:rPr>
        <w:t xml:space="preserve">  Create or import a supported process model.</w:t>
      </w:r>
    </w:p>
    <w:p>
      <w:pPr>
        <w:spacing w:before="0" w:after="60" w:line="259" w:lineRule="auto"/>
        <w:ind w:left="351" w:hanging="238"/>
      </w:pPr>
      <w:r>
        <w:rPr>
          <w:rFonts w:ascii="Inter" w:hAnsi="Inter" w:eastAsia="Inter"/>
          <w:b/>
          <w:color w:val="B87333"/>
          <w:sz w:val="18"/>
        </w:rPr>
        <w:t>2.</w:t>
      </w:r>
      <w:r>
        <w:rPr>
          <w:rFonts w:ascii="Inter" w:hAnsi="Inter" w:eastAsia="Inter"/>
          <w:color w:val="20242A"/>
          <w:sz w:val="18"/>
        </w:rPr>
        <w:t xml:space="preserve">  Attach valid duration, cost, SLA and routing assumptions.</w:t>
      </w:r>
    </w:p>
    <w:p>
      <w:pPr>
        <w:spacing w:before="0" w:after="60" w:line="259" w:lineRule="auto"/>
        <w:ind w:left="351" w:hanging="238"/>
      </w:pPr>
      <w:r>
        <w:rPr>
          <w:rFonts w:ascii="Inter" w:hAnsi="Inter" w:eastAsia="Inter"/>
          <w:b/>
          <w:color w:val="B87333"/>
          <w:sz w:val="18"/>
        </w:rPr>
        <w:t>3.</w:t>
      </w:r>
      <w:r>
        <w:rPr>
          <w:rFonts w:ascii="Inter" w:hAnsi="Inter" w:eastAsia="Inter"/>
          <w:color w:val="20242A"/>
          <w:sz w:val="18"/>
        </w:rPr>
        <w:t xml:space="preserve">  Run deterministic or stochastic simulation in a background worker.</w:t>
      </w:r>
    </w:p>
    <w:p>
      <w:pPr>
        <w:spacing w:before="0" w:after="60" w:line="259" w:lineRule="auto"/>
        <w:ind w:left="351" w:hanging="238"/>
      </w:pPr>
      <w:r>
        <w:rPr>
          <w:rFonts w:ascii="Inter" w:hAnsi="Inter" w:eastAsia="Inter"/>
          <w:b/>
          <w:color w:val="B87333"/>
          <w:sz w:val="18"/>
        </w:rPr>
        <w:t>4.</w:t>
      </w:r>
      <w:r>
        <w:rPr>
          <w:rFonts w:ascii="Inter" w:hAnsi="Inter" w:eastAsia="Inter"/>
          <w:color w:val="20242A"/>
          <w:sz w:val="18"/>
        </w:rPr>
        <w:t xml:space="preserve">  Explain cycle time, cost, SLA risk and bottleneck contribution.</w:t>
      </w:r>
    </w:p>
    <w:p>
      <w:pPr>
        <w:spacing w:before="0" w:after="60" w:line="259" w:lineRule="auto"/>
        <w:ind w:left="351" w:hanging="238"/>
      </w:pPr>
      <w:r>
        <w:rPr>
          <w:rFonts w:ascii="Inter" w:hAnsi="Inter" w:eastAsia="Inter"/>
          <w:b/>
          <w:color w:val="B87333"/>
          <w:sz w:val="18"/>
        </w:rPr>
        <w:t>5.</w:t>
      </w:r>
      <w:r>
        <w:rPr>
          <w:rFonts w:ascii="Inter" w:hAnsi="Inter" w:eastAsia="Inter"/>
          <w:color w:val="20242A"/>
          <w:sz w:val="18"/>
        </w:rPr>
        <w:t xml:space="preserve">  Duplicate a baseline into a proposed scenario and compare outcomes.</w:t>
      </w:r>
    </w:p>
    <w:p>
      <w:pPr>
        <w:spacing w:before="0" w:after="60" w:line="259" w:lineRule="auto"/>
        <w:ind w:left="351" w:hanging="238"/>
      </w:pPr>
      <w:r>
        <w:rPr>
          <w:rFonts w:ascii="Inter" w:hAnsi="Inter" w:eastAsia="Inter"/>
          <w:b/>
          <w:color w:val="B87333"/>
          <w:sz w:val="18"/>
        </w:rPr>
        <w:t>6.</w:t>
      </w:r>
      <w:r>
        <w:rPr>
          <w:rFonts w:ascii="Inter" w:hAnsi="Inter" w:eastAsia="Inter"/>
          <w:color w:val="20242A"/>
          <w:sz w:val="18"/>
        </w:rPr>
        <w:t xml:space="preserve">  Persist the workspace locally and export/import a portable project package.</w:t>
      </w:r>
    </w:p>
    <w:p>
      <w:pPr>
        <w:spacing w:before="0" w:after="60" w:line="259" w:lineRule="auto"/>
        <w:ind w:left="351" w:hanging="238"/>
      </w:pPr>
      <w:r>
        <w:rPr>
          <w:rFonts w:ascii="Inter" w:hAnsi="Inter" w:eastAsia="Inter"/>
          <w:b/>
          <w:color w:val="B87333"/>
          <w:sz w:val="18"/>
        </w:rPr>
        <w:t>7.</w:t>
      </w:r>
      <w:r>
        <w:rPr>
          <w:rFonts w:ascii="Inter" w:hAnsi="Inter" w:eastAsia="Inter"/>
          <w:color w:val="20242A"/>
          <w:sz w:val="18"/>
        </w:rPr>
        <w:t xml:space="preserve">  Complete a curated template demonstration from launch to insight in approximately five minutes.</w:t>
      </w:r>
    </w:p>
    <w:p>
      <w:pPr>
        <w:pStyle w:val="Heading1"/>
        <w:keepNext/>
        <w:spacing w:before="200" w:after="80" w:line="269" w:lineRule="auto"/>
      </w:pPr>
      <w:r>
        <w:rPr>
          <w:rFonts w:ascii="Inter Display" w:hAnsi="Inter Display" w:eastAsia="Inter Display"/>
          <w:b/>
          <w:color w:val="B87333"/>
          <w:sz w:val="22"/>
        </w:rPr>
        <w:t>07</w:t>
      </w:r>
      <w:r>
        <w:rPr>
          <w:rFonts w:ascii="Inter Display" w:hAnsi="Inter Display" w:eastAsia="Inter Display"/>
          <w:b/>
          <w:color w:val="5A0F1A"/>
          <w:sz w:val="36"/>
        </w:rPr>
        <w:t xml:space="preserve">  Project Scope</w:t>
      </w:r>
    </w:p>
    <w:p>
      <w:pPr>
        <w:spacing w:before="0" w:after="140" w:line="269" w:lineRule="auto"/>
      </w:pPr>
      <w:r>
        <w:rPr>
          <w:rFonts w:ascii="Inter" w:hAnsi="Inter" w:eastAsia="Inter"/>
          <w:i/>
          <w:color w:val="667085"/>
          <w:sz w:val="18"/>
        </w:rPr>
        <w:t>Explicit MVP boundaries to protect delivery quality and solo-developer feasibility.</w:t>
      </w:r>
    </w:p>
    <w:p>
      <w:pPr>
        <w:spacing w:before="0" w:after="140" w:line="269" w:lineRule="auto"/>
        <w:pBdr>
          <w:bottom w:val="single" w:sz="7" w:space="1" w:color="C9B2B5"/>
        </w:pBdr>
      </w:pPr>
    </w:p>
    <w:p>
      <w:pPr>
        <w:pStyle w:val="Heading2"/>
        <w:keepNext/>
        <w:spacing w:before="140" w:after="60" w:line="269" w:lineRule="auto"/>
      </w:pPr>
      <w:r>
        <w:rPr>
          <w:rFonts w:ascii="Inter Display" w:hAnsi="Inter Display" w:eastAsia="Inter Display"/>
          <w:b/>
          <w:color w:val="7B0F22"/>
          <w:sz w:val="23"/>
        </w:rPr>
        <w:t>In scope</w:t>
      </w:r>
    </w:p>
    <w:tbl>
      <w:tblPr>
        <w:tblStyle w:val="TableGrid"/>
        <w:tblW w:type="auto" w:w="0"/>
        <w:jc w:val="center"/>
        <w:tblLook w:firstColumn="1" w:firstRow="1" w:lastColumn="0" w:lastRow="0" w:noHBand="0" w:noVBand="1" w:val="04A0"/>
      </w:tblPr>
      <w:tblGrid>
        <w:gridCol w:w="5046"/>
        <w:gridCol w:w="5046"/>
      </w:tblGrid>
      <w:tr>
        <w:trPr>
          <w:tblHeader w:val="true"/>
        </w:trPr>
        <w:tc>
          <w:tcPr>
            <w:tcW w:type="dxa" w:w="2268"/>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Capability</w:t>
            </w:r>
          </w:p>
        </w:tc>
        <w:tc>
          <w:tcPr>
            <w:tcW w:type="dxa" w:w="7087"/>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MVP scope</w:t>
            </w:r>
          </w:p>
        </w:tc>
      </w:tr>
      <w:tr>
        <w:trPr>
          <w:cantSplit/>
        </w:trPr>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Workspace</w:t>
            </w:r>
          </w:p>
        </w:tc>
        <w:tc>
          <w:tcPr>
            <w:tcW w:type="dxa" w:w="7087"/>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Create, rename, duplicate, delete and reopen locally stored projects; recent projects; starter templates.</w:t>
            </w:r>
          </w:p>
        </w:tc>
      </w:tr>
      <w:tr>
        <w:trPr>
          <w:cantSplit/>
        </w:trPr>
        <w:tc>
          <w:tcPr>
            <w:tcW w:type="dxa" w:w="2268"/>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Modeling</w:t>
            </w:r>
          </w:p>
        </w:tc>
        <w:tc>
          <w:tcPr>
            <w:tcW w:type="dxa" w:w="7087"/>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Start/end events, tasks, user/service tasks, sequence flows, exclusive gateways; parallel gateway support may land as P1 if simulation semantics are not stable by MVP freeze.</w:t>
            </w:r>
          </w:p>
        </w:tc>
      </w:tr>
      <w:tr>
        <w:trPr>
          <w:cantSplit/>
        </w:trPr>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Simulation properties</w:t>
            </w:r>
          </w:p>
        </w:tc>
        <w:tc>
          <w:tcPr>
            <w:tcW w:type="dxa" w:w="7087"/>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Fixed/uniform/triangular duration, fixed cost, optional resource cost metadata, process SLA, branch probabilities, simulation count, seed.</w:t>
            </w:r>
          </w:p>
        </w:tc>
      </w:tr>
      <w:tr>
        <w:trPr>
          <w:cantSplit/>
        </w:trPr>
        <w:tc>
          <w:tcPr>
            <w:tcW w:type="dxa" w:w="2268"/>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Validation</w:t>
            </w:r>
          </w:p>
        </w:tc>
        <w:tc>
          <w:tcPr>
            <w:tcW w:type="dxa" w:w="7087"/>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Structural checks plus AridentFlow-specific simulation-readiness validation with severity and element focus.</w:t>
            </w:r>
          </w:p>
        </w:tc>
      </w:tr>
      <w:tr>
        <w:trPr>
          <w:cantSplit/>
        </w:trPr>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Simulation</w:t>
            </w:r>
          </w:p>
        </w:tc>
        <w:tc>
          <w:tcPr>
            <w:tcW w:type="dxa" w:w="7087"/>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Graph traversal, probabilistic routing, Monte Carlo runs, reproducibility, progress, cancellation, background execution.</w:t>
            </w:r>
          </w:p>
        </w:tc>
      </w:tr>
      <w:tr>
        <w:trPr>
          <w:cantSplit/>
        </w:trPr>
        <w:tc>
          <w:tcPr>
            <w:tcW w:type="dxa" w:w="2268"/>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Analytics</w:t>
            </w:r>
          </w:p>
        </w:tc>
        <w:tc>
          <w:tcPr>
            <w:tcW w:type="dxa" w:w="7087"/>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Cycle-time statistics, P50/P90/P95, cost, SLA compliance, task contribution, path/branch frequency, bottleneck ranking.</w:t>
            </w:r>
          </w:p>
        </w:tc>
      </w:tr>
      <w:tr>
        <w:trPr>
          <w:cantSplit/>
        </w:trPr>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Scenarios</w:t>
            </w:r>
          </w:p>
        </w:tc>
        <w:tc>
          <w:tcPr>
            <w:tcW w:type="dxa" w:w="7087"/>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Baseline, duplicate, rename, edit assumptions, rerun, compare absolute and percentage deltas.</w:t>
            </w:r>
          </w:p>
        </w:tc>
      </w:tr>
      <w:tr>
        <w:trPr>
          <w:cantSplit/>
        </w:trPr>
        <w:tc>
          <w:tcPr>
            <w:tcW w:type="dxa" w:w="2268"/>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Persistence</w:t>
            </w:r>
          </w:p>
        </w:tc>
        <w:tc>
          <w:tcPr>
            <w:tcW w:type="dxa" w:w="7087"/>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IndexedDB, schema versioning, debounced autosave, local settings.</w:t>
            </w:r>
          </w:p>
        </w:tc>
      </w:tr>
      <w:tr>
        <w:trPr>
          <w:cantSplit/>
        </w:trPr>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Import/export</w:t>
            </w:r>
          </w:p>
        </w:tc>
        <w:tc>
          <w:tcPr>
            <w:tcW w:type="dxa" w:w="7087"/>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BPMN XML, AridentFlow project package, printable summary, diagram image where reliable.</w:t>
            </w:r>
          </w:p>
        </w:tc>
      </w:tr>
    </w:tbl>
    <w:p>
      <w:pPr>
        <w:spacing w:after="0"/>
      </w:pPr>
    </w:p>
    <w:p>
      <w:pPr>
        <w:pStyle w:val="Heading2"/>
        <w:keepNext/>
        <w:spacing w:before="140" w:after="60" w:line="269" w:lineRule="auto"/>
      </w:pPr>
      <w:r>
        <w:rPr>
          <w:rFonts w:ascii="Inter Display" w:hAnsi="Inter Display" w:eastAsia="Inter Display"/>
          <w:b/>
          <w:color w:val="7B0F22"/>
          <w:sz w:val="23"/>
        </w:rPr>
        <w:t>Out of scope for MVP</w:t>
      </w:r>
    </w:p>
    <w:p>
      <w:pPr>
        <w:pStyle w:val="ListBullet"/>
        <w:spacing w:before="0" w:after="80" w:line="259" w:lineRule="auto"/>
      </w:pPr>
      <w:r>
        <w:rPr>
          <w:rFonts w:ascii="Inter" w:hAnsi="Inter" w:eastAsia="Inter"/>
          <w:color w:val="20242A"/>
          <w:sz w:val="18"/>
        </w:rPr>
        <w:t>Production workflow execution, orchestration or RPA.</w:t>
      </w:r>
    </w:p>
    <w:p>
      <w:pPr>
        <w:pStyle w:val="ListBullet"/>
        <w:spacing w:before="0" w:after="80" w:line="259" w:lineRule="auto"/>
      </w:pPr>
      <w:r>
        <w:rPr>
          <w:rFonts w:ascii="Inter" w:hAnsi="Inter" w:eastAsia="Inter"/>
          <w:color w:val="20242A"/>
          <w:sz w:val="18"/>
        </w:rPr>
        <w:t>Accounts, authentication, organizations, RBAC, billing or cloud project storage.</w:t>
      </w:r>
    </w:p>
    <w:p>
      <w:pPr>
        <w:pStyle w:val="ListBullet"/>
        <w:spacing w:before="0" w:after="80" w:line="259" w:lineRule="auto"/>
      </w:pPr>
      <w:r>
        <w:rPr>
          <w:rFonts w:ascii="Inter" w:hAnsi="Inter" w:eastAsia="Inter"/>
          <w:color w:val="20242A"/>
          <w:sz w:val="18"/>
        </w:rPr>
        <w:t>Real-time collaboration, comments and multi-user version history.</w:t>
      </w:r>
    </w:p>
    <w:p>
      <w:pPr>
        <w:pStyle w:val="ListBullet"/>
        <w:spacing w:before="0" w:after="80" w:line="259" w:lineRule="auto"/>
      </w:pPr>
      <w:r>
        <w:rPr>
          <w:rFonts w:ascii="Inter" w:hAnsi="Inter" w:eastAsia="Inter"/>
          <w:color w:val="20242A"/>
          <w:sz w:val="18"/>
        </w:rPr>
        <w:t>ERP/CRM/ServiceNow/Jira/Power Automate integrations.</w:t>
      </w:r>
    </w:p>
    <w:p>
      <w:pPr>
        <w:pStyle w:val="ListBullet"/>
        <w:spacing w:before="0" w:after="80" w:line="259" w:lineRule="auto"/>
      </w:pPr>
      <w:r>
        <w:rPr>
          <w:rFonts w:ascii="Inter" w:hAnsi="Inter" w:eastAsia="Inter"/>
          <w:color w:val="20242A"/>
          <w:sz w:val="18"/>
        </w:rPr>
        <w:t>Full executable BPMN 2.0 coverage, event subprocesses, compensation, choreography and arbitrary expressions.</w:t>
      </w:r>
    </w:p>
    <w:p>
      <w:pPr>
        <w:pStyle w:val="ListBullet"/>
        <w:spacing w:before="0" w:after="80" w:line="259" w:lineRule="auto"/>
      </w:pPr>
      <w:r>
        <w:rPr>
          <w:rFonts w:ascii="Inter" w:hAnsi="Inter" w:eastAsia="Inter"/>
          <w:color w:val="20242A"/>
          <w:sz w:val="18"/>
        </w:rPr>
        <w:t>Queue/resource-capacity/discrete-event simulation unless explicitly promoted from P1 after core simulation is stable.</w:t>
      </w:r>
    </w:p>
    <w:p>
      <w:pPr>
        <w:pStyle w:val="ListBullet"/>
        <w:spacing w:before="0" w:after="80" w:line="259" w:lineRule="auto"/>
      </w:pPr>
      <w:r>
        <w:rPr>
          <w:rFonts w:ascii="Inter" w:hAnsi="Inter" w:eastAsia="Inter"/>
          <w:color w:val="20242A"/>
          <w:sz w:val="18"/>
        </w:rPr>
        <w:t>Process-mining event-log ingestion.</w:t>
      </w:r>
    </w:p>
    <w:p>
      <w:pPr>
        <w:pStyle w:val="ListBullet"/>
        <w:spacing w:before="0" w:after="80" w:line="259" w:lineRule="auto"/>
      </w:pPr>
      <w:r>
        <w:rPr>
          <w:rFonts w:ascii="Inter" w:hAnsi="Inter" w:eastAsia="Inter"/>
          <w:color w:val="20242A"/>
          <w:sz w:val="18"/>
        </w:rPr>
        <w:t>External AI or LLM APIs.</w:t>
      </w:r>
    </w:p>
    <w:p>
      <w:pPr>
        <w:pStyle w:val="ListBullet"/>
        <w:spacing w:before="0" w:after="80" w:line="259" w:lineRule="auto"/>
      </w:pPr>
      <w:r>
        <w:rPr>
          <w:rFonts w:ascii="Inter" w:hAnsi="Inter" w:eastAsia="Inter"/>
          <w:color w:val="20242A"/>
          <w:sz w:val="18"/>
        </w:rPr>
        <w:t>Custom JavaScript execution inside process definitions.</w:t>
      </w:r>
    </w:p>
    <w:tbl>
      <w:tblPr>
        <w:tblW w:type="auto" w:w="0"/>
        <w:jc w:val="center"/>
        <w:tblLayout w:type="autofit"/>
        <w:tblLook w:firstColumn="1" w:firstRow="1" w:lastColumn="0" w:lastRow="0" w:noHBand="0" w:noVBand="1" w:val="04A0"/>
      </w:tblPr>
      <w:tblGrid>
        <w:gridCol w:w="10092"/>
      </w:tblGrid>
      <w:tr>
        <w:trPr>
          <w:cantSplit/>
        </w:trPr>
        <w:tc>
          <w:tcPr>
            <w:tcW w:type="dxa" w:w="10092"/>
            <w:shd w:fill="FBF7EE"/>
            <w:tcMar>
              <w:top w:w="120" w:type="dxa"/>
              <w:start w:w="180" w:type="dxa"/>
              <w:bottom w:w="120" w:type="dxa"/>
              <w:end w:w="180" w:type="dxa"/>
            </w:tcMar>
            <w:tcBorders>
              <w:top w:val="nil"/>
              <w:left w:val="single" w:sz="20" w:color="B87333"/>
              <w:bottom w:val="nil"/>
              <w:right w:val="nil"/>
            </w:tcBorders>
          </w:tcPr>
          <w:p>
            <w:pPr>
              <w:spacing w:before="0" w:after="60" w:line="269" w:lineRule="auto"/>
            </w:pPr>
            <w:r>
              <w:rPr>
                <w:rFonts w:ascii="Inter" w:hAnsi="Inter" w:eastAsia="Inter"/>
                <w:b/>
                <w:color w:val="B87333"/>
                <w:sz w:val="16"/>
              </w:rPr>
              <w:t>SCOPE RULE</w:t>
            </w:r>
          </w:p>
          <w:p>
            <w:pPr>
              <w:spacing w:before="0" w:after="0" w:line="269" w:lineRule="auto"/>
            </w:pPr>
            <w:r>
              <w:rPr>
                <w:rFonts w:ascii="Inter" w:hAnsi="Inter" w:eastAsia="Inter"/>
                <w:color w:val="20242A"/>
                <w:sz w:val="18"/>
              </w:rPr>
              <w:t>If a feature does not improve the Model → Simulate → Improve loop or materially strengthen reliability, accessibility or demo quality, it should not enter the MVP backlog.</w:t>
            </w:r>
          </w:p>
        </w:tc>
      </w:tr>
    </w:tbl>
    <w:p>
      <w:pPr>
        <w:spacing w:after="0"/>
      </w:pPr>
    </w:p>
    <w:p>
      <w:r>
        <w:br w:type="page"/>
      </w:r>
    </w:p>
    <w:p>
      <w:pPr>
        <w:pStyle w:val="Heading1"/>
        <w:keepNext/>
        <w:spacing w:before="200" w:after="80" w:line="269" w:lineRule="auto"/>
      </w:pPr>
      <w:r>
        <w:rPr>
          <w:rFonts w:ascii="Inter Display" w:hAnsi="Inter Display" w:eastAsia="Inter Display"/>
          <w:b/>
          <w:color w:val="B87333"/>
          <w:sz w:val="22"/>
        </w:rPr>
        <w:t>08</w:t>
      </w:r>
      <w:r>
        <w:rPr>
          <w:rFonts w:ascii="Inter Display" w:hAnsi="Inter Display" w:eastAsia="Inter Display"/>
          <w:b/>
          <w:color w:val="5A0F1A"/>
          <w:sz w:val="36"/>
        </w:rPr>
        <w:t xml:space="preserve">  Core Features and Functionality</w:t>
      </w:r>
    </w:p>
    <w:p>
      <w:pPr>
        <w:spacing w:before="0" w:after="140" w:line="269" w:lineRule="auto"/>
      </w:pPr>
      <w:r>
        <w:rPr>
          <w:rFonts w:ascii="Inter" w:hAnsi="Inter" w:eastAsia="Inter"/>
          <w:i/>
          <w:color w:val="667085"/>
          <w:sz w:val="18"/>
        </w:rPr>
        <w:t>The product capabilities that make the MVP feel complete rather than like a technical prototype.</w:t>
      </w:r>
    </w:p>
    <w:p>
      <w:pPr>
        <w:spacing w:before="0" w:after="140" w:line="269" w:lineRule="auto"/>
        <w:pBdr>
          <w:bottom w:val="single" w:sz="7" w:space="1" w:color="C9B2B5"/>
        </w:pBdr>
      </w:pPr>
    </w:p>
    <w:tbl>
      <w:tblPr>
        <w:tblStyle w:val="TableGrid"/>
        <w:tblW w:type="auto" w:w="0"/>
        <w:jc w:val="center"/>
        <w:tblLook w:firstColumn="1" w:firstRow="1" w:lastColumn="0" w:lastRow="0" w:noHBand="0" w:noVBand="1" w:val="04A0"/>
      </w:tblPr>
      <w:tblGrid>
        <w:gridCol w:w="2523"/>
        <w:gridCol w:w="2523"/>
        <w:gridCol w:w="2523"/>
        <w:gridCol w:w="2523"/>
      </w:tblGrid>
      <w:tr>
        <w:trPr>
          <w:tblHeader w:val="true"/>
        </w:trPr>
        <w:tc>
          <w:tcPr>
            <w:tcW w:type="dxa" w:w="680"/>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ID</w:t>
            </w:r>
          </w:p>
        </w:tc>
        <w:tc>
          <w:tcPr>
            <w:tcW w:type="dxa" w:w="2268"/>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Capability</w:t>
            </w:r>
          </w:p>
        </w:tc>
        <w:tc>
          <w:tcPr>
            <w:tcW w:type="dxa" w:w="964"/>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Priority</w:t>
            </w:r>
          </w:p>
        </w:tc>
        <w:tc>
          <w:tcPr>
            <w:tcW w:type="dxa" w:w="5443"/>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Definition</w:t>
            </w:r>
          </w:p>
        </w:tc>
      </w:tr>
      <w:tr>
        <w:trPr>
          <w:cantSplit/>
        </w:trPr>
        <w:tc>
          <w:tcPr>
            <w:tcW w:type="dxa" w:w="68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F01</w:t>
            </w:r>
          </w:p>
        </w:tc>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Workspace &amp; templates</w:t>
            </w:r>
          </w:p>
        </w:tc>
        <w:tc>
          <w:tcPr>
            <w:tcW w:type="dxa" w:w="964"/>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P0</w:t>
            </w:r>
          </w:p>
        </w:tc>
        <w:tc>
          <w:tcPr>
            <w:tcW w:type="dxa" w:w="5443"/>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Project cards, recents, local lifecycle actions and curated business templates.</w:t>
            </w:r>
          </w:p>
        </w:tc>
      </w:tr>
      <w:tr>
        <w:trPr>
          <w:cantSplit/>
        </w:trPr>
        <w:tc>
          <w:tcPr>
            <w:tcW w:type="dxa" w:w="68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F02</w:t>
            </w:r>
          </w:p>
        </w:tc>
        <w:tc>
          <w:tcPr>
            <w:tcW w:type="dxa" w:w="226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BPMN-oriented modeler</w:t>
            </w:r>
          </w:p>
        </w:tc>
        <w:tc>
          <w:tcPr>
            <w:tcW w:type="dxa" w:w="964"/>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P0</w:t>
            </w:r>
          </w:p>
        </w:tc>
        <w:tc>
          <w:tcPr>
            <w:tcW w:type="dxa" w:w="5443"/>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Create and edit supported process constructs inside a professional canvas.</w:t>
            </w:r>
          </w:p>
        </w:tc>
      </w:tr>
      <w:tr>
        <w:trPr>
          <w:cantSplit/>
        </w:trPr>
        <w:tc>
          <w:tcPr>
            <w:tcW w:type="dxa" w:w="68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F03</w:t>
            </w:r>
          </w:p>
        </w:tc>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Simulation property inspector</w:t>
            </w:r>
          </w:p>
        </w:tc>
        <w:tc>
          <w:tcPr>
            <w:tcW w:type="dxa" w:w="964"/>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P0</w:t>
            </w:r>
          </w:p>
        </w:tc>
        <w:tc>
          <w:tcPr>
            <w:tcW w:type="dxa" w:w="5443"/>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Configure duration, cost, SLA and gateway probability using contextual controls.</w:t>
            </w:r>
          </w:p>
        </w:tc>
      </w:tr>
      <w:tr>
        <w:trPr>
          <w:cantSplit/>
        </w:trPr>
        <w:tc>
          <w:tcPr>
            <w:tcW w:type="dxa" w:w="68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F04</w:t>
            </w:r>
          </w:p>
        </w:tc>
        <w:tc>
          <w:tcPr>
            <w:tcW w:type="dxa" w:w="226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Readiness validation</w:t>
            </w:r>
          </w:p>
        </w:tc>
        <w:tc>
          <w:tcPr>
            <w:tcW w:type="dxa" w:w="964"/>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P0</w:t>
            </w:r>
          </w:p>
        </w:tc>
        <w:tc>
          <w:tcPr>
            <w:tcW w:type="dxa" w:w="5443"/>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Block invalid simulations and explain what must be fixed, with click-to-focus.</w:t>
            </w:r>
          </w:p>
        </w:tc>
      </w:tr>
      <w:tr>
        <w:trPr>
          <w:cantSplit/>
        </w:trPr>
        <w:tc>
          <w:tcPr>
            <w:tcW w:type="dxa" w:w="68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F05</w:t>
            </w:r>
          </w:p>
        </w:tc>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Seeded Monte Carlo engine</w:t>
            </w:r>
          </w:p>
        </w:tc>
        <w:tc>
          <w:tcPr>
            <w:tcW w:type="dxa" w:w="964"/>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P0</w:t>
            </w:r>
          </w:p>
        </w:tc>
        <w:tc>
          <w:tcPr>
            <w:tcW w:type="dxa" w:w="5443"/>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Run reproducible simulations independently of React/UI concerns.</w:t>
            </w:r>
          </w:p>
        </w:tc>
      </w:tr>
      <w:tr>
        <w:trPr>
          <w:cantSplit/>
        </w:trPr>
        <w:tc>
          <w:tcPr>
            <w:tcW w:type="dxa" w:w="68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F06</w:t>
            </w:r>
          </w:p>
        </w:tc>
        <w:tc>
          <w:tcPr>
            <w:tcW w:type="dxa" w:w="226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Worker execution</w:t>
            </w:r>
          </w:p>
        </w:tc>
        <w:tc>
          <w:tcPr>
            <w:tcW w:type="dxa" w:w="964"/>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P0</w:t>
            </w:r>
          </w:p>
        </w:tc>
        <w:tc>
          <w:tcPr>
            <w:tcW w:type="dxa" w:w="5443"/>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Progress, cancellation and non-blocking background simulation.</w:t>
            </w:r>
          </w:p>
        </w:tc>
      </w:tr>
      <w:tr>
        <w:trPr>
          <w:cantSplit/>
        </w:trPr>
        <w:tc>
          <w:tcPr>
            <w:tcW w:type="dxa" w:w="68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F07</w:t>
            </w:r>
          </w:p>
        </w:tc>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Operational analytics</w:t>
            </w:r>
          </w:p>
        </w:tc>
        <w:tc>
          <w:tcPr>
            <w:tcW w:type="dxa" w:w="964"/>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P0</w:t>
            </w:r>
          </w:p>
        </w:tc>
        <w:tc>
          <w:tcPr>
            <w:tcW w:type="dxa" w:w="5443"/>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Cycle time, distributions, percentiles, cost, SLA and contribution analysis.</w:t>
            </w:r>
          </w:p>
        </w:tc>
      </w:tr>
      <w:tr>
        <w:trPr>
          <w:cantSplit/>
        </w:trPr>
        <w:tc>
          <w:tcPr>
            <w:tcW w:type="dxa" w:w="68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F08</w:t>
            </w:r>
          </w:p>
        </w:tc>
        <w:tc>
          <w:tcPr>
            <w:tcW w:type="dxa" w:w="226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Bottleneck analysis</w:t>
            </w:r>
          </w:p>
        </w:tc>
        <w:tc>
          <w:tcPr>
            <w:tcW w:type="dxa" w:w="964"/>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P0</w:t>
            </w:r>
          </w:p>
        </w:tc>
        <w:tc>
          <w:tcPr>
            <w:tcW w:type="dxa" w:w="5443"/>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Rank activities by measurable contribution rather than visual guesswork.</w:t>
            </w:r>
          </w:p>
        </w:tc>
      </w:tr>
      <w:tr>
        <w:trPr>
          <w:cantSplit/>
        </w:trPr>
        <w:tc>
          <w:tcPr>
            <w:tcW w:type="dxa" w:w="68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F09</w:t>
            </w:r>
          </w:p>
        </w:tc>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Scenario management</w:t>
            </w:r>
          </w:p>
        </w:tc>
        <w:tc>
          <w:tcPr>
            <w:tcW w:type="dxa" w:w="964"/>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P0</w:t>
            </w:r>
          </w:p>
        </w:tc>
        <w:tc>
          <w:tcPr>
            <w:tcW w:type="dxa" w:w="5443"/>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Create baseline/proposed variants and preserve assumptions per scenario.</w:t>
            </w:r>
          </w:p>
        </w:tc>
      </w:tr>
      <w:tr>
        <w:trPr>
          <w:cantSplit/>
        </w:trPr>
        <w:tc>
          <w:tcPr>
            <w:tcW w:type="dxa" w:w="68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F10</w:t>
            </w:r>
          </w:p>
        </w:tc>
        <w:tc>
          <w:tcPr>
            <w:tcW w:type="dxa" w:w="226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Scenario comparison</w:t>
            </w:r>
          </w:p>
        </w:tc>
        <w:tc>
          <w:tcPr>
            <w:tcW w:type="dxa" w:w="964"/>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P0</w:t>
            </w:r>
          </w:p>
        </w:tc>
        <w:tc>
          <w:tcPr>
            <w:tcW w:type="dxa" w:w="5443"/>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Side-by-side KPI deltas and clear improvement/regression explanations.</w:t>
            </w:r>
          </w:p>
        </w:tc>
      </w:tr>
      <w:tr>
        <w:trPr>
          <w:cantSplit/>
        </w:trPr>
        <w:tc>
          <w:tcPr>
            <w:tcW w:type="dxa" w:w="68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F11</w:t>
            </w:r>
          </w:p>
        </w:tc>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Portable project package</w:t>
            </w:r>
          </w:p>
        </w:tc>
        <w:tc>
          <w:tcPr>
            <w:tcW w:type="dxa" w:w="964"/>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P0</w:t>
            </w:r>
          </w:p>
        </w:tc>
        <w:tc>
          <w:tcPr>
            <w:tcW w:type="dxa" w:w="5443"/>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Export/import local project state without cloud sharing.</w:t>
            </w:r>
          </w:p>
        </w:tc>
      </w:tr>
      <w:tr>
        <w:trPr>
          <w:cantSplit/>
        </w:trPr>
        <w:tc>
          <w:tcPr>
            <w:tcW w:type="dxa" w:w="68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F12</w:t>
            </w:r>
          </w:p>
        </w:tc>
        <w:tc>
          <w:tcPr>
            <w:tcW w:type="dxa" w:w="226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Executive report</w:t>
            </w:r>
          </w:p>
        </w:tc>
        <w:tc>
          <w:tcPr>
            <w:tcW w:type="dxa" w:w="964"/>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P0</w:t>
            </w:r>
          </w:p>
        </w:tc>
        <w:tc>
          <w:tcPr>
            <w:tcW w:type="dxa" w:w="5443"/>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Print-friendly summary designed for a client discussion.</w:t>
            </w:r>
          </w:p>
        </w:tc>
      </w:tr>
      <w:tr>
        <w:trPr>
          <w:cantSplit/>
        </w:trPr>
        <w:tc>
          <w:tcPr>
            <w:tcW w:type="dxa" w:w="68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F13</w:t>
            </w:r>
          </w:p>
        </w:tc>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Process outline</w:t>
            </w:r>
          </w:p>
        </w:tc>
        <w:tc>
          <w:tcPr>
            <w:tcW w:type="dxa" w:w="964"/>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P1</w:t>
            </w:r>
          </w:p>
        </w:tc>
        <w:tc>
          <w:tcPr>
            <w:tcW w:type="dxa" w:w="5443"/>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Textual navigable representation to improve accessibility and model inspection.</w:t>
            </w:r>
          </w:p>
        </w:tc>
      </w:tr>
      <w:tr>
        <w:trPr>
          <w:cantSplit/>
        </w:trPr>
        <w:tc>
          <w:tcPr>
            <w:tcW w:type="dxa" w:w="68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F14</w:t>
            </w:r>
          </w:p>
        </w:tc>
        <w:tc>
          <w:tcPr>
            <w:tcW w:type="dxa" w:w="226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Parallel semantics</w:t>
            </w:r>
          </w:p>
        </w:tc>
        <w:tc>
          <w:tcPr>
            <w:tcW w:type="dxa" w:w="964"/>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P1</w:t>
            </w:r>
          </w:p>
        </w:tc>
        <w:tc>
          <w:tcPr>
            <w:tcW w:type="dxa" w:w="5443"/>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Correct fork/join timing after core exclusive-path semantics are proven.</w:t>
            </w:r>
          </w:p>
        </w:tc>
      </w:tr>
      <w:tr>
        <w:trPr>
          <w:cantSplit/>
        </w:trPr>
        <w:tc>
          <w:tcPr>
            <w:tcW w:type="dxa" w:w="68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F15</w:t>
            </w:r>
          </w:p>
        </w:tc>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Offline PWA</w:t>
            </w:r>
          </w:p>
        </w:tc>
        <w:tc>
          <w:tcPr>
            <w:tcW w:type="dxa" w:w="964"/>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P1</w:t>
            </w:r>
          </w:p>
        </w:tc>
        <w:tc>
          <w:tcPr>
            <w:tcW w:type="dxa" w:w="5443"/>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Installable shell and cached static assets after core product stabilization.</w:t>
            </w:r>
          </w:p>
        </w:tc>
      </w:tr>
    </w:tbl>
    <w:p>
      <w:pPr>
        <w:spacing w:after="0"/>
      </w:pPr>
    </w:p>
    <w:p>
      <w:pPr>
        <w:pStyle w:val="Heading2"/>
        <w:keepNext/>
        <w:spacing w:before="140" w:after="60" w:line="269" w:lineRule="auto"/>
      </w:pPr>
      <w:r>
        <w:rPr>
          <w:rFonts w:ascii="Inter Display" w:hAnsi="Inter Display" w:eastAsia="Inter Display"/>
          <w:b/>
          <w:color w:val="7B0F22"/>
          <w:sz w:val="23"/>
        </w:rPr>
        <w:t>Analytics experience</w:t>
      </w:r>
    </w:p>
    <w:p>
      <w:pPr>
        <w:pStyle w:val="ListBullet"/>
        <w:spacing w:before="0" w:after="48" w:line="259" w:lineRule="auto"/>
      </w:pPr>
      <w:r>
        <w:rPr>
          <w:rFonts w:ascii="Inter" w:hAnsi="Inter" w:eastAsia="Inter"/>
          <w:color w:val="20242A"/>
          <w:sz w:val="18"/>
        </w:rPr>
        <w:t>Headline KPIs should always show context: scenario name, run size, seed/config fingerprint and timestamp.</w:t>
      </w:r>
    </w:p>
    <w:p>
      <w:pPr>
        <w:pStyle w:val="ListBullet"/>
        <w:spacing w:before="0" w:after="48" w:line="259" w:lineRule="auto"/>
      </w:pPr>
      <w:r>
        <w:rPr>
          <w:rFonts w:ascii="Inter" w:hAnsi="Inter" w:eastAsia="Inter"/>
          <w:color w:val="20242A"/>
          <w:sz w:val="18"/>
        </w:rPr>
        <w:t>Distribution charts must show more than averages; P90/P95 should be first-class when tail performance matters.</w:t>
      </w:r>
    </w:p>
    <w:p>
      <w:pPr>
        <w:pStyle w:val="ListBullet"/>
        <w:spacing w:before="0" w:after="48" w:line="259" w:lineRule="auto"/>
      </w:pPr>
      <w:r>
        <w:rPr>
          <w:rFonts w:ascii="Inter" w:hAnsi="Inter" w:eastAsia="Inter"/>
          <w:color w:val="20242A"/>
          <w:sz w:val="18"/>
        </w:rPr>
        <w:t>A “Why?” interaction should connect each major insight back to contributing tasks, paths or configuration assumptions.</w:t>
      </w:r>
    </w:p>
    <w:p>
      <w:pPr>
        <w:pStyle w:val="ListBullet"/>
        <w:spacing w:before="0" w:after="48" w:line="259" w:lineRule="auto"/>
      </w:pPr>
      <w:r>
        <w:rPr>
          <w:rFonts w:ascii="Inter" w:hAnsi="Inter" w:eastAsia="Inter"/>
          <w:color w:val="20242A"/>
          <w:sz w:val="18"/>
        </w:rPr>
        <w:t>Comparison views should distinguish improvement from regression using labels/icons in addition to color.</w:t>
      </w:r>
    </w:p>
    <w:p>
      <w:pPr>
        <w:pStyle w:val="Heading1"/>
        <w:keepNext/>
        <w:spacing w:before="200" w:after="80" w:line="269" w:lineRule="auto"/>
      </w:pPr>
      <w:r>
        <w:rPr>
          <w:rFonts w:ascii="Inter Display" w:hAnsi="Inter Display" w:eastAsia="Inter Display"/>
          <w:b/>
          <w:color w:val="B87333"/>
          <w:sz w:val="22"/>
        </w:rPr>
        <w:t>09</w:t>
      </w:r>
      <w:r>
        <w:rPr>
          <w:rFonts w:ascii="Inter Display" w:hAnsi="Inter Display" w:eastAsia="Inter Display"/>
          <w:b/>
          <w:color w:val="5A0F1A"/>
          <w:sz w:val="36"/>
        </w:rPr>
        <w:t xml:space="preserve">  Key User Workflows</w:t>
      </w:r>
    </w:p>
    <w:p>
      <w:pPr>
        <w:spacing w:before="0" w:after="140" w:line="269" w:lineRule="auto"/>
      </w:pPr>
      <w:r>
        <w:rPr>
          <w:rFonts w:ascii="Inter" w:hAnsi="Inter" w:eastAsia="Inter"/>
          <w:i/>
          <w:color w:val="667085"/>
          <w:sz w:val="18"/>
        </w:rPr>
        <w:t>End-to-end flows that define whether the product is understandable and useful.</w:t>
      </w:r>
    </w:p>
    <w:p>
      <w:pPr>
        <w:spacing w:before="0" w:after="140" w:line="269" w:lineRule="auto"/>
        <w:pBdr>
          <w:bottom w:val="single" w:sz="7" w:space="1" w:color="C9B2B5"/>
        </w:pBdr>
      </w:pP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2268"/>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Workflow</w:t>
            </w:r>
          </w:p>
        </w:tc>
        <w:tc>
          <w:tcPr>
            <w:tcW w:type="dxa" w:w="4252"/>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Happy path</w:t>
            </w:r>
          </w:p>
        </w:tc>
        <w:tc>
          <w:tcPr>
            <w:tcW w:type="dxa" w:w="2835"/>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Business purpose</w:t>
            </w:r>
          </w:p>
        </w:tc>
      </w:tr>
      <w:tr>
        <w:trPr>
          <w:cantSplit/>
        </w:trPr>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W1 — Template to insight</w:t>
            </w:r>
          </w:p>
        </w:tc>
        <w:tc>
          <w:tcPr>
            <w:tcW w:type="dxa" w:w="4252"/>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Open template → inspect model → configure/validate → simulate → review bottleneck</w:t>
            </w:r>
          </w:p>
        </w:tc>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First-time demo and onboarding</w:t>
            </w:r>
          </w:p>
        </w:tc>
      </w:tr>
      <w:tr>
        <w:trPr>
          <w:cantSplit/>
        </w:trPr>
        <w:tc>
          <w:tcPr>
            <w:tcW w:type="dxa" w:w="226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W2 — Model from scratch</w:t>
            </w:r>
          </w:p>
        </w:tc>
        <w:tc>
          <w:tcPr>
            <w:tcW w:type="dxa" w:w="4252"/>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Create project → model process → configure elements → validate → simulate</w:t>
            </w:r>
          </w:p>
        </w:tc>
        <w:tc>
          <w:tcPr>
            <w:tcW w:type="dxa" w:w="2835"/>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Analyst building a current-state workflow</w:t>
            </w:r>
          </w:p>
        </w:tc>
      </w:tr>
      <w:tr>
        <w:trPr>
          <w:cantSplit/>
        </w:trPr>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W3 — Compare improvement</w:t>
            </w:r>
          </w:p>
        </w:tc>
        <w:tc>
          <w:tcPr>
            <w:tcW w:type="dxa" w:w="4252"/>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Run baseline → duplicate scenario → change assumptions → rerun → compare</w:t>
            </w:r>
          </w:p>
        </w:tc>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Quantify an automation/process-change proposal</w:t>
            </w:r>
          </w:p>
        </w:tc>
      </w:tr>
      <w:tr>
        <w:trPr>
          <w:cantSplit/>
        </w:trPr>
        <w:tc>
          <w:tcPr>
            <w:tcW w:type="dxa" w:w="226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W4 — Import BPMN</w:t>
            </w:r>
          </w:p>
        </w:tc>
        <w:tc>
          <w:tcPr>
            <w:tcW w:type="dxa" w:w="4252"/>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Select BPMN → parse locally → classify supported/unsupported constructs → configure → simulate</w:t>
            </w:r>
          </w:p>
        </w:tc>
        <w:tc>
          <w:tcPr>
            <w:tcW w:type="dxa" w:w="2835"/>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Reuse an existing business process asset</w:t>
            </w:r>
          </w:p>
        </w:tc>
      </w:tr>
      <w:tr>
        <w:trPr>
          <w:cantSplit/>
        </w:trPr>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W5 — Share offline</w:t>
            </w:r>
          </w:p>
        </w:tc>
        <w:tc>
          <w:tcPr>
            <w:tcW w:type="dxa" w:w="4252"/>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Export .aridentflow package → send through user-chosen channel → recipient imports</w:t>
            </w:r>
          </w:p>
        </w:tc>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Portable sharing without product cloud storage</w:t>
            </w:r>
          </w:p>
        </w:tc>
      </w:tr>
      <w:tr>
        <w:trPr>
          <w:cantSplit/>
        </w:trPr>
        <w:tc>
          <w:tcPr>
            <w:tcW w:type="dxa" w:w="226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W6 — Present findings</w:t>
            </w:r>
          </w:p>
        </w:tc>
        <w:tc>
          <w:tcPr>
            <w:tcW w:type="dxa" w:w="4252"/>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Open comparison/report → show cycle-time/SLA/cost deltas → print/export summary</w:t>
            </w:r>
          </w:p>
        </w:tc>
        <w:tc>
          <w:tcPr>
            <w:tcW w:type="dxa" w:w="2835"/>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Client workshop or stakeholder review</w:t>
            </w:r>
          </w:p>
        </w:tc>
      </w:tr>
    </w:tbl>
    <w:p>
      <w:pPr>
        <w:spacing w:after="0"/>
      </w:pPr>
    </w:p>
    <w:p>
      <w:pPr>
        <w:pStyle w:val="Heading2"/>
        <w:keepNext/>
        <w:spacing w:before="140" w:after="60" w:line="269" w:lineRule="auto"/>
      </w:pPr>
      <w:r>
        <w:rPr>
          <w:rFonts w:ascii="Inter Display" w:hAnsi="Inter Display" w:eastAsia="Inter Display"/>
          <w:b/>
          <w:color w:val="7B0F22"/>
          <w:sz w:val="23"/>
        </w:rPr>
        <w:t>Detailed workflow: baseline vs proposed</w:t>
      </w:r>
    </w:p>
    <w:p>
      <w:pPr>
        <w:spacing w:before="0" w:after="60" w:line="259" w:lineRule="auto"/>
        <w:ind w:left="351" w:hanging="238"/>
      </w:pPr>
      <w:r>
        <w:rPr>
          <w:rFonts w:ascii="Inter" w:hAnsi="Inter" w:eastAsia="Inter"/>
          <w:b/>
          <w:color w:val="B87333"/>
          <w:sz w:val="18"/>
        </w:rPr>
        <w:t>1.</w:t>
      </w:r>
      <w:r>
        <w:rPr>
          <w:rFonts w:ascii="Inter" w:hAnsi="Inter" w:eastAsia="Inter"/>
          <w:color w:val="20242A"/>
          <w:sz w:val="18"/>
        </w:rPr>
        <w:t xml:space="preserve">  User opens a validated baseline scenario and runs a simulation.</w:t>
      </w:r>
    </w:p>
    <w:p>
      <w:pPr>
        <w:spacing w:before="0" w:after="60" w:line="259" w:lineRule="auto"/>
        <w:ind w:left="351" w:hanging="238"/>
      </w:pPr>
      <w:r>
        <w:rPr>
          <w:rFonts w:ascii="Inter" w:hAnsi="Inter" w:eastAsia="Inter"/>
          <w:b/>
          <w:color w:val="B87333"/>
          <w:sz w:val="18"/>
        </w:rPr>
        <w:t>2.</w:t>
      </w:r>
      <w:r>
        <w:rPr>
          <w:rFonts w:ascii="Inter" w:hAnsi="Inter" w:eastAsia="Inter"/>
          <w:color w:val="20242A"/>
          <w:sz w:val="18"/>
        </w:rPr>
        <w:t xml:space="preserve">  AridentFlow saves a result summary tied to the exact configuration and seed.</w:t>
      </w:r>
    </w:p>
    <w:p>
      <w:pPr>
        <w:spacing w:before="0" w:after="60" w:line="259" w:lineRule="auto"/>
        <w:ind w:left="351" w:hanging="238"/>
      </w:pPr>
      <w:r>
        <w:rPr>
          <w:rFonts w:ascii="Inter" w:hAnsi="Inter" w:eastAsia="Inter"/>
          <w:b/>
          <w:color w:val="B87333"/>
          <w:sz w:val="18"/>
        </w:rPr>
        <w:t>3.</w:t>
      </w:r>
      <w:r>
        <w:rPr>
          <w:rFonts w:ascii="Inter" w:hAnsi="Inter" w:eastAsia="Inter"/>
          <w:color w:val="20242A"/>
          <w:sz w:val="18"/>
        </w:rPr>
        <w:t xml:space="preserve">  User duplicates the scenario as “Automated low-value approvals”.</w:t>
      </w:r>
    </w:p>
    <w:p>
      <w:pPr>
        <w:spacing w:before="0" w:after="60" w:line="259" w:lineRule="auto"/>
        <w:ind w:left="351" w:hanging="238"/>
      </w:pPr>
      <w:r>
        <w:rPr>
          <w:rFonts w:ascii="Inter" w:hAnsi="Inter" w:eastAsia="Inter"/>
          <w:b/>
          <w:color w:val="B87333"/>
          <w:sz w:val="18"/>
        </w:rPr>
        <w:t>4.</w:t>
      </w:r>
      <w:r>
        <w:rPr>
          <w:rFonts w:ascii="Inter" w:hAnsi="Inter" w:eastAsia="Inter"/>
          <w:color w:val="20242A"/>
          <w:sz w:val="18"/>
        </w:rPr>
        <w:t xml:space="preserve">  User changes only the relevant activity duration and branch assumptions.</w:t>
      </w:r>
    </w:p>
    <w:p>
      <w:pPr>
        <w:spacing w:before="0" w:after="60" w:line="259" w:lineRule="auto"/>
        <w:ind w:left="351" w:hanging="238"/>
      </w:pPr>
      <w:r>
        <w:rPr>
          <w:rFonts w:ascii="Inter" w:hAnsi="Inter" w:eastAsia="Inter"/>
          <w:b/>
          <w:color w:val="B87333"/>
          <w:sz w:val="18"/>
        </w:rPr>
        <w:t>5.</w:t>
      </w:r>
      <w:r>
        <w:rPr>
          <w:rFonts w:ascii="Inter" w:hAnsi="Inter" w:eastAsia="Inter"/>
          <w:color w:val="20242A"/>
          <w:sz w:val="18"/>
        </w:rPr>
        <w:t xml:space="preserve">  The new scenario is validated and simulated using the chosen run configuration.</w:t>
      </w:r>
    </w:p>
    <w:p>
      <w:pPr>
        <w:spacing w:before="0" w:after="60" w:line="259" w:lineRule="auto"/>
        <w:ind w:left="351" w:hanging="238"/>
      </w:pPr>
      <w:r>
        <w:rPr>
          <w:rFonts w:ascii="Inter" w:hAnsi="Inter" w:eastAsia="Inter"/>
          <w:b/>
          <w:color w:val="B87333"/>
          <w:sz w:val="18"/>
        </w:rPr>
        <w:t>6.</w:t>
      </w:r>
      <w:r>
        <w:rPr>
          <w:rFonts w:ascii="Inter" w:hAnsi="Inter" w:eastAsia="Inter"/>
          <w:color w:val="20242A"/>
          <w:sz w:val="18"/>
        </w:rPr>
        <w:t xml:space="preserve">  The comparison view shows absolute and percentage changes for cycle time, P95, expected cost and SLA compliance.</w:t>
      </w:r>
    </w:p>
    <w:p>
      <w:pPr>
        <w:spacing w:before="0" w:after="60" w:line="259" w:lineRule="auto"/>
        <w:ind w:left="351" w:hanging="238"/>
      </w:pPr>
      <w:r>
        <w:rPr>
          <w:rFonts w:ascii="Inter" w:hAnsi="Inter" w:eastAsia="Inter"/>
          <w:b/>
          <w:color w:val="B87333"/>
          <w:sz w:val="18"/>
        </w:rPr>
        <w:t>7.</w:t>
      </w:r>
      <w:r>
        <w:rPr>
          <w:rFonts w:ascii="Inter" w:hAnsi="Inter" w:eastAsia="Inter"/>
          <w:color w:val="20242A"/>
          <w:sz w:val="18"/>
        </w:rPr>
        <w:t xml:space="preserve">  The user opens “Why this changed” to see which activities/path frequencies drove the delta.</w:t>
      </w:r>
    </w:p>
    <w:p>
      <w:pPr>
        <w:spacing w:before="0" w:after="60" w:line="259" w:lineRule="auto"/>
        <w:ind w:left="351" w:hanging="238"/>
      </w:pPr>
      <w:r>
        <w:rPr>
          <w:rFonts w:ascii="Inter" w:hAnsi="Inter" w:eastAsia="Inter"/>
          <w:b/>
          <w:color w:val="B87333"/>
          <w:sz w:val="18"/>
        </w:rPr>
        <w:t>8.</w:t>
      </w:r>
      <w:r>
        <w:rPr>
          <w:rFonts w:ascii="Inter" w:hAnsi="Inter" w:eastAsia="Inter"/>
          <w:color w:val="20242A"/>
          <w:sz w:val="18"/>
        </w:rPr>
        <w:t xml:space="preserve">  The user prints or exports a concise executive summary for the stakeholder discussion.</w:t>
      </w:r>
    </w:p>
    <w:tbl>
      <w:tblPr>
        <w:tblW w:type="auto" w:w="0"/>
        <w:jc w:val="center"/>
        <w:tblLayout w:type="autofit"/>
        <w:tblLook w:firstColumn="1" w:firstRow="1" w:lastColumn="0" w:lastRow="0" w:noHBand="0" w:noVBand="1" w:val="04A0"/>
      </w:tblPr>
      <w:tblGrid>
        <w:gridCol w:w="10092"/>
      </w:tblGrid>
      <w:tr>
        <w:trPr>
          <w:cantSplit/>
        </w:trPr>
        <w:tc>
          <w:tcPr>
            <w:tcW w:type="dxa" w:w="10092"/>
            <w:shd w:fill="F7F2F1"/>
            <w:tcMar>
              <w:top w:w="120" w:type="dxa"/>
              <w:start w:w="180" w:type="dxa"/>
              <w:bottom w:w="120" w:type="dxa"/>
              <w:end w:w="180" w:type="dxa"/>
            </w:tcMar>
            <w:tcBorders>
              <w:top w:val="nil"/>
              <w:left w:val="single" w:sz="20" w:color="5A0F1A"/>
              <w:bottom w:val="nil"/>
              <w:right w:val="nil"/>
            </w:tcBorders>
          </w:tcPr>
          <w:p>
            <w:pPr>
              <w:spacing w:before="0" w:after="60" w:line="269" w:lineRule="auto"/>
            </w:pPr>
            <w:r>
              <w:rPr>
                <w:rFonts w:ascii="Inter" w:hAnsi="Inter" w:eastAsia="Inter"/>
                <w:b/>
                <w:color w:val="5A0F1A"/>
                <w:sz w:val="16"/>
              </w:rPr>
              <w:t>UX ACCEPTANCE CRITERION</w:t>
            </w:r>
          </w:p>
          <w:p>
            <w:pPr>
              <w:spacing w:before="0" w:after="0" w:line="269" w:lineRule="auto"/>
            </w:pPr>
            <w:r>
              <w:rPr>
                <w:rFonts w:ascii="Inter" w:hAnsi="Inter" w:eastAsia="Inter"/>
                <w:color w:val="20242A"/>
                <w:sz w:val="18"/>
              </w:rPr>
              <w:t>A first-time user should never need to understand Monte Carlo terminology to complete the standard template workflow. Statistical detail is available progressively, not required up front.</w:t>
            </w:r>
          </w:p>
        </w:tc>
      </w:tr>
    </w:tbl>
    <w:p>
      <w:pPr>
        <w:spacing w:after="0"/>
      </w:pPr>
    </w:p>
    <w:p>
      <w:r>
        <w:br w:type="page"/>
      </w:r>
    </w:p>
    <w:p>
      <w:pPr>
        <w:pStyle w:val="Heading1"/>
        <w:keepNext/>
        <w:spacing w:before="200" w:after="80" w:line="269" w:lineRule="auto"/>
      </w:pPr>
      <w:r>
        <w:rPr>
          <w:rFonts w:ascii="Inter Display" w:hAnsi="Inter Display" w:eastAsia="Inter Display"/>
          <w:b/>
          <w:color w:val="B87333"/>
          <w:sz w:val="22"/>
        </w:rPr>
        <w:t>10</w:t>
      </w:r>
      <w:r>
        <w:rPr>
          <w:rFonts w:ascii="Inter Display" w:hAnsi="Inter Display" w:eastAsia="Inter Display"/>
          <w:b/>
          <w:color w:val="5A0F1A"/>
          <w:sz w:val="36"/>
        </w:rPr>
        <w:t xml:space="preserve">  Functional Requirements</w:t>
      </w:r>
    </w:p>
    <w:p>
      <w:pPr>
        <w:spacing w:before="0" w:after="140" w:line="269" w:lineRule="auto"/>
      </w:pPr>
      <w:r>
        <w:rPr>
          <w:rFonts w:ascii="Inter" w:hAnsi="Inter" w:eastAsia="Inter"/>
          <w:i/>
          <w:color w:val="667085"/>
          <w:sz w:val="18"/>
        </w:rPr>
        <w:t>Traceable product behavior for implementation planning and acceptance testing.</w:t>
      </w:r>
    </w:p>
    <w:p>
      <w:pPr>
        <w:spacing w:before="0" w:after="140" w:line="269" w:lineRule="auto"/>
        <w:pBdr>
          <w:bottom w:val="single" w:sz="7" w:space="1" w:color="C9B2B5"/>
        </w:pBdr>
      </w:pPr>
    </w:p>
    <w:tbl>
      <w:tblPr>
        <w:tblStyle w:val="TableGrid"/>
        <w:tblW w:type="auto" w:w="0"/>
        <w:jc w:val="center"/>
        <w:tblLook w:firstColumn="1" w:firstRow="1" w:lastColumn="0" w:lastRow="0" w:noHBand="0" w:noVBand="1" w:val="04A0"/>
      </w:tblPr>
      <w:tblGrid>
        <w:gridCol w:w="2523"/>
        <w:gridCol w:w="2523"/>
        <w:gridCol w:w="2523"/>
        <w:gridCol w:w="2523"/>
      </w:tblGrid>
      <w:tr>
        <w:trPr>
          <w:tblHeader w:val="true"/>
        </w:trPr>
        <w:tc>
          <w:tcPr>
            <w:tcW w:type="dxa" w:w="1020"/>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ID</w:t>
            </w:r>
          </w:p>
        </w:tc>
        <w:tc>
          <w:tcPr>
            <w:tcW w:type="dxa" w:w="1531"/>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Area</w:t>
            </w:r>
          </w:p>
        </w:tc>
        <w:tc>
          <w:tcPr>
            <w:tcW w:type="dxa" w:w="6123"/>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Requirement</w:t>
            </w:r>
          </w:p>
        </w:tc>
        <w:tc>
          <w:tcPr>
            <w:tcW w:type="dxa" w:w="1020"/>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Priority</w:t>
            </w:r>
          </w:p>
        </w:tc>
      </w:tr>
      <w:tr>
        <w:trPr>
          <w:cantSplit/>
        </w:trPr>
        <w:tc>
          <w:tcPr>
            <w:tcW w:type="dxa" w:w="10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FR-001</w:t>
            </w:r>
          </w:p>
        </w:tc>
        <w:tc>
          <w:tcPr>
            <w:tcW w:type="dxa" w:w="153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Workspace</w:t>
            </w:r>
          </w:p>
        </w:tc>
        <w:tc>
          <w:tcPr>
            <w:tcW w:type="dxa" w:w="6123"/>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Create a new local project with a unique client-generated identifier.</w:t>
            </w:r>
          </w:p>
        </w:tc>
        <w:tc>
          <w:tcPr>
            <w:tcW w:type="dxa" w:w="10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Must</w:t>
            </w:r>
          </w:p>
        </w:tc>
      </w:tr>
      <w:tr>
        <w:trPr>
          <w:cantSplit/>
        </w:trPr>
        <w:tc>
          <w:tcPr>
            <w:tcW w:type="dxa" w:w="10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FR-002</w:t>
            </w:r>
          </w:p>
        </w:tc>
        <w:tc>
          <w:tcPr>
            <w:tcW w:type="dxa" w:w="1531"/>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Workspace</w:t>
            </w:r>
          </w:p>
        </w:tc>
        <w:tc>
          <w:tcPr>
            <w:tcW w:type="dxa" w:w="6123"/>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Rename, duplicate and delete locally stored projects with safe confirmation for destructive actions.</w:t>
            </w:r>
          </w:p>
        </w:tc>
        <w:tc>
          <w:tcPr>
            <w:tcW w:type="dxa" w:w="10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Must</w:t>
            </w:r>
          </w:p>
        </w:tc>
      </w:tr>
      <w:tr>
        <w:trPr>
          <w:cantSplit/>
        </w:trPr>
        <w:tc>
          <w:tcPr>
            <w:tcW w:type="dxa" w:w="10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FR-003</w:t>
            </w:r>
          </w:p>
        </w:tc>
        <w:tc>
          <w:tcPr>
            <w:tcW w:type="dxa" w:w="153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Workspace</w:t>
            </w:r>
          </w:p>
        </w:tc>
        <w:tc>
          <w:tcPr>
            <w:tcW w:type="dxa" w:w="6123"/>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Display recent projects with last-modified information.</w:t>
            </w:r>
          </w:p>
        </w:tc>
        <w:tc>
          <w:tcPr>
            <w:tcW w:type="dxa" w:w="10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Must</w:t>
            </w:r>
          </w:p>
        </w:tc>
      </w:tr>
      <w:tr>
        <w:trPr>
          <w:cantSplit/>
        </w:trPr>
        <w:tc>
          <w:tcPr>
            <w:tcW w:type="dxa" w:w="10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FR-004</w:t>
            </w:r>
          </w:p>
        </w:tc>
        <w:tc>
          <w:tcPr>
            <w:tcW w:type="dxa" w:w="1531"/>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Workspace</w:t>
            </w:r>
          </w:p>
        </w:tc>
        <w:tc>
          <w:tcPr>
            <w:tcW w:type="dxa" w:w="6123"/>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Create an editable project from a curated starter template.</w:t>
            </w:r>
          </w:p>
        </w:tc>
        <w:tc>
          <w:tcPr>
            <w:tcW w:type="dxa" w:w="10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Must</w:t>
            </w:r>
          </w:p>
        </w:tc>
      </w:tr>
      <w:tr>
        <w:trPr>
          <w:cantSplit/>
        </w:trPr>
        <w:tc>
          <w:tcPr>
            <w:tcW w:type="dxa" w:w="10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FR-005</w:t>
            </w:r>
          </w:p>
        </w:tc>
        <w:tc>
          <w:tcPr>
            <w:tcW w:type="dxa" w:w="153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Persistence</w:t>
            </w:r>
          </w:p>
        </w:tc>
        <w:tc>
          <w:tcPr>
            <w:tcW w:type="dxa" w:w="6123"/>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Autosave changes locally with visible saving/saved/error status.</w:t>
            </w:r>
          </w:p>
        </w:tc>
        <w:tc>
          <w:tcPr>
            <w:tcW w:type="dxa" w:w="10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Must</w:t>
            </w:r>
          </w:p>
        </w:tc>
      </w:tr>
      <w:tr>
        <w:trPr>
          <w:cantSplit/>
        </w:trPr>
        <w:tc>
          <w:tcPr>
            <w:tcW w:type="dxa" w:w="10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FR-006</w:t>
            </w:r>
          </w:p>
        </w:tc>
        <w:tc>
          <w:tcPr>
            <w:tcW w:type="dxa" w:w="1531"/>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Modeling</w:t>
            </w:r>
          </w:p>
        </w:tc>
        <w:tc>
          <w:tcPr>
            <w:tcW w:type="dxa" w:w="6123"/>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Render and edit supported BPMN-oriented process elements.</w:t>
            </w:r>
          </w:p>
        </w:tc>
        <w:tc>
          <w:tcPr>
            <w:tcW w:type="dxa" w:w="10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Must</w:t>
            </w:r>
          </w:p>
        </w:tc>
      </w:tr>
      <w:tr>
        <w:trPr>
          <w:cantSplit/>
        </w:trPr>
        <w:tc>
          <w:tcPr>
            <w:tcW w:type="dxa" w:w="10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FR-007</w:t>
            </w:r>
          </w:p>
        </w:tc>
        <w:tc>
          <w:tcPr>
            <w:tcW w:type="dxa" w:w="153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Modeling</w:t>
            </w:r>
          </w:p>
        </w:tc>
        <w:tc>
          <w:tcPr>
            <w:tcW w:type="dxa" w:w="6123"/>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Add, connect, move, rename and delete supported model elements.</w:t>
            </w:r>
          </w:p>
        </w:tc>
        <w:tc>
          <w:tcPr>
            <w:tcW w:type="dxa" w:w="10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Must</w:t>
            </w:r>
          </w:p>
        </w:tc>
      </w:tr>
      <w:tr>
        <w:trPr>
          <w:cantSplit/>
        </w:trPr>
        <w:tc>
          <w:tcPr>
            <w:tcW w:type="dxa" w:w="10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FR-008</w:t>
            </w:r>
          </w:p>
        </w:tc>
        <w:tc>
          <w:tcPr>
            <w:tcW w:type="dxa" w:w="1531"/>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Modeling</w:t>
            </w:r>
          </w:p>
        </w:tc>
        <w:tc>
          <w:tcPr>
            <w:tcW w:type="dxa" w:w="6123"/>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Open a contextual property inspector for the selected process element.</w:t>
            </w:r>
          </w:p>
        </w:tc>
        <w:tc>
          <w:tcPr>
            <w:tcW w:type="dxa" w:w="10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Must</w:t>
            </w:r>
          </w:p>
        </w:tc>
      </w:tr>
      <w:tr>
        <w:trPr>
          <w:cantSplit/>
        </w:trPr>
        <w:tc>
          <w:tcPr>
            <w:tcW w:type="dxa" w:w="10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FR-009</w:t>
            </w:r>
          </w:p>
        </w:tc>
        <w:tc>
          <w:tcPr>
            <w:tcW w:type="dxa" w:w="153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Modeling</w:t>
            </w:r>
          </w:p>
        </w:tc>
        <w:tc>
          <w:tcPr>
            <w:tcW w:type="dxa" w:w="6123"/>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Preserve imported BPMN XML where supported and surface unsupported constructs explicitly.</w:t>
            </w:r>
          </w:p>
        </w:tc>
        <w:tc>
          <w:tcPr>
            <w:tcW w:type="dxa" w:w="10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Must</w:t>
            </w:r>
          </w:p>
        </w:tc>
      </w:tr>
      <w:tr>
        <w:trPr>
          <w:cantSplit/>
        </w:trPr>
        <w:tc>
          <w:tcPr>
            <w:tcW w:type="dxa" w:w="10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FR-010</w:t>
            </w:r>
          </w:p>
        </w:tc>
        <w:tc>
          <w:tcPr>
            <w:tcW w:type="dxa" w:w="1531"/>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Configuration</w:t>
            </w:r>
          </w:p>
        </w:tc>
        <w:tc>
          <w:tcPr>
            <w:tcW w:type="dxa" w:w="6123"/>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Configure task duration using fixed, uniform or triangular distributions.</w:t>
            </w:r>
          </w:p>
        </w:tc>
        <w:tc>
          <w:tcPr>
            <w:tcW w:type="dxa" w:w="10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Must</w:t>
            </w:r>
          </w:p>
        </w:tc>
      </w:tr>
      <w:tr>
        <w:trPr>
          <w:cantSplit/>
        </w:trPr>
        <w:tc>
          <w:tcPr>
            <w:tcW w:type="dxa" w:w="10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FR-011</w:t>
            </w:r>
          </w:p>
        </w:tc>
        <w:tc>
          <w:tcPr>
            <w:tcW w:type="dxa" w:w="153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Configuration</w:t>
            </w:r>
          </w:p>
        </w:tc>
        <w:tc>
          <w:tcPr>
            <w:tcW w:type="dxa" w:w="6123"/>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Configure fixed task cost and optional resource-cost metadata.</w:t>
            </w:r>
          </w:p>
        </w:tc>
        <w:tc>
          <w:tcPr>
            <w:tcW w:type="dxa" w:w="10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Must</w:t>
            </w:r>
          </w:p>
        </w:tc>
      </w:tr>
      <w:tr>
        <w:trPr>
          <w:cantSplit/>
        </w:trPr>
        <w:tc>
          <w:tcPr>
            <w:tcW w:type="dxa" w:w="10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FR-012</w:t>
            </w:r>
          </w:p>
        </w:tc>
        <w:tc>
          <w:tcPr>
            <w:tcW w:type="dxa" w:w="1531"/>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Configuration</w:t>
            </w:r>
          </w:p>
        </w:tc>
        <w:tc>
          <w:tcPr>
            <w:tcW w:type="dxa" w:w="6123"/>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Configure exclusive gateway branch probabilities.</w:t>
            </w:r>
          </w:p>
        </w:tc>
        <w:tc>
          <w:tcPr>
            <w:tcW w:type="dxa" w:w="10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Must</w:t>
            </w:r>
          </w:p>
        </w:tc>
      </w:tr>
      <w:tr>
        <w:trPr>
          <w:cantSplit/>
        </w:trPr>
        <w:tc>
          <w:tcPr>
            <w:tcW w:type="dxa" w:w="10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FR-013</w:t>
            </w:r>
          </w:p>
        </w:tc>
        <w:tc>
          <w:tcPr>
            <w:tcW w:type="dxa" w:w="153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Configuration</w:t>
            </w:r>
          </w:p>
        </w:tc>
        <w:tc>
          <w:tcPr>
            <w:tcW w:type="dxa" w:w="6123"/>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Configure overall process SLA target.</w:t>
            </w:r>
          </w:p>
        </w:tc>
        <w:tc>
          <w:tcPr>
            <w:tcW w:type="dxa" w:w="10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Must</w:t>
            </w:r>
          </w:p>
        </w:tc>
      </w:tr>
      <w:tr>
        <w:trPr>
          <w:cantSplit/>
        </w:trPr>
        <w:tc>
          <w:tcPr>
            <w:tcW w:type="dxa" w:w="10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FR-014</w:t>
            </w:r>
          </w:p>
        </w:tc>
        <w:tc>
          <w:tcPr>
            <w:tcW w:type="dxa" w:w="1531"/>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Configuration</w:t>
            </w:r>
          </w:p>
        </w:tc>
        <w:tc>
          <w:tcPr>
            <w:tcW w:type="dxa" w:w="6123"/>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Configure simulation iteration count within safe product limits.</w:t>
            </w:r>
          </w:p>
        </w:tc>
        <w:tc>
          <w:tcPr>
            <w:tcW w:type="dxa" w:w="10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Must</w:t>
            </w:r>
          </w:p>
        </w:tc>
      </w:tr>
      <w:tr>
        <w:trPr>
          <w:cantSplit/>
        </w:trPr>
        <w:tc>
          <w:tcPr>
            <w:tcW w:type="dxa" w:w="10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FR-015</w:t>
            </w:r>
          </w:p>
        </w:tc>
        <w:tc>
          <w:tcPr>
            <w:tcW w:type="dxa" w:w="153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Configuration</w:t>
            </w:r>
          </w:p>
        </w:tc>
        <w:tc>
          <w:tcPr>
            <w:tcW w:type="dxa" w:w="6123"/>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Optionally define or regenerate a random seed.</w:t>
            </w:r>
          </w:p>
        </w:tc>
        <w:tc>
          <w:tcPr>
            <w:tcW w:type="dxa" w:w="10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Must</w:t>
            </w:r>
          </w:p>
        </w:tc>
      </w:tr>
      <w:tr>
        <w:trPr>
          <w:cantSplit/>
        </w:trPr>
        <w:tc>
          <w:tcPr>
            <w:tcW w:type="dxa" w:w="10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FR-016</w:t>
            </w:r>
          </w:p>
        </w:tc>
        <w:tc>
          <w:tcPr>
            <w:tcW w:type="dxa" w:w="1531"/>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Validation</w:t>
            </w:r>
          </w:p>
        </w:tc>
        <w:tc>
          <w:tcPr>
            <w:tcW w:type="dxa" w:w="6123"/>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Validate supported start/end connectivity before simulation.</w:t>
            </w:r>
          </w:p>
        </w:tc>
        <w:tc>
          <w:tcPr>
            <w:tcW w:type="dxa" w:w="10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Must</w:t>
            </w:r>
          </w:p>
        </w:tc>
      </w:tr>
      <w:tr>
        <w:trPr>
          <w:cantSplit/>
        </w:trPr>
        <w:tc>
          <w:tcPr>
            <w:tcW w:type="dxa" w:w="10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FR-017</w:t>
            </w:r>
          </w:p>
        </w:tc>
        <w:tc>
          <w:tcPr>
            <w:tcW w:type="dxa" w:w="153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Validation</w:t>
            </w:r>
          </w:p>
        </w:tc>
        <w:tc>
          <w:tcPr>
            <w:tcW w:type="dxa" w:w="6123"/>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Detect disconnected or unreachable simulation elements.</w:t>
            </w:r>
          </w:p>
        </w:tc>
        <w:tc>
          <w:tcPr>
            <w:tcW w:type="dxa" w:w="10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Must</w:t>
            </w:r>
          </w:p>
        </w:tc>
      </w:tr>
      <w:tr>
        <w:trPr>
          <w:cantSplit/>
        </w:trPr>
        <w:tc>
          <w:tcPr>
            <w:tcW w:type="dxa" w:w="10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FR-018</w:t>
            </w:r>
          </w:p>
        </w:tc>
        <w:tc>
          <w:tcPr>
            <w:tcW w:type="dxa" w:w="1531"/>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Validation</w:t>
            </w:r>
          </w:p>
        </w:tc>
        <w:tc>
          <w:tcPr>
            <w:tcW w:type="dxa" w:w="6123"/>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Detect missing/invalid simulation properties.</w:t>
            </w:r>
          </w:p>
        </w:tc>
        <w:tc>
          <w:tcPr>
            <w:tcW w:type="dxa" w:w="10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Must</w:t>
            </w:r>
          </w:p>
        </w:tc>
      </w:tr>
      <w:tr>
        <w:trPr>
          <w:cantSplit/>
        </w:trPr>
        <w:tc>
          <w:tcPr>
            <w:tcW w:type="dxa" w:w="10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FR-019</w:t>
            </w:r>
          </w:p>
        </w:tc>
        <w:tc>
          <w:tcPr>
            <w:tcW w:type="dxa" w:w="153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Validation</w:t>
            </w:r>
          </w:p>
        </w:tc>
        <w:tc>
          <w:tcPr>
            <w:tcW w:type="dxa" w:w="6123"/>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Require exclusive gateway probabilities to satisfy configured normalization rules.</w:t>
            </w:r>
          </w:p>
        </w:tc>
        <w:tc>
          <w:tcPr>
            <w:tcW w:type="dxa" w:w="10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Must</w:t>
            </w:r>
          </w:p>
        </w:tc>
      </w:tr>
      <w:tr>
        <w:trPr>
          <w:cantSplit/>
        </w:trPr>
        <w:tc>
          <w:tcPr>
            <w:tcW w:type="dxa" w:w="10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FR-020</w:t>
            </w:r>
          </w:p>
        </w:tc>
        <w:tc>
          <w:tcPr>
            <w:tcW w:type="dxa" w:w="1531"/>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Validation</w:t>
            </w:r>
          </w:p>
        </w:tc>
        <w:tc>
          <w:tcPr>
            <w:tcW w:type="dxa" w:w="6123"/>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Identify unsupported BPMN constructs without silently altering behavior.</w:t>
            </w:r>
          </w:p>
        </w:tc>
        <w:tc>
          <w:tcPr>
            <w:tcW w:type="dxa" w:w="10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Must</w:t>
            </w:r>
          </w:p>
        </w:tc>
      </w:tr>
      <w:tr>
        <w:trPr>
          <w:cantSplit/>
        </w:trPr>
        <w:tc>
          <w:tcPr>
            <w:tcW w:type="dxa" w:w="10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FR-021</w:t>
            </w:r>
          </w:p>
        </w:tc>
        <w:tc>
          <w:tcPr>
            <w:tcW w:type="dxa" w:w="153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Validation</w:t>
            </w:r>
          </w:p>
        </w:tc>
        <w:tc>
          <w:tcPr>
            <w:tcW w:type="dxa" w:w="6123"/>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Allow a validation issue to focus/select its diagram element.</w:t>
            </w:r>
          </w:p>
        </w:tc>
        <w:tc>
          <w:tcPr>
            <w:tcW w:type="dxa" w:w="10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Should</w:t>
            </w:r>
          </w:p>
        </w:tc>
      </w:tr>
      <w:tr>
        <w:trPr>
          <w:cantSplit/>
        </w:trPr>
        <w:tc>
          <w:tcPr>
            <w:tcW w:type="dxa" w:w="10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FR-022</w:t>
            </w:r>
          </w:p>
        </w:tc>
        <w:tc>
          <w:tcPr>
            <w:tcW w:type="dxa" w:w="1531"/>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Simulation</w:t>
            </w:r>
          </w:p>
        </w:tc>
        <w:tc>
          <w:tcPr>
            <w:tcW w:type="dxa" w:w="6123"/>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Execute simulation without requiring an application backend.</w:t>
            </w:r>
          </w:p>
        </w:tc>
        <w:tc>
          <w:tcPr>
            <w:tcW w:type="dxa" w:w="10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Must</w:t>
            </w:r>
          </w:p>
        </w:tc>
      </w:tr>
      <w:tr>
        <w:trPr>
          <w:cantSplit/>
        </w:trPr>
        <w:tc>
          <w:tcPr>
            <w:tcW w:type="dxa" w:w="10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FR-023</w:t>
            </w:r>
          </w:p>
        </w:tc>
        <w:tc>
          <w:tcPr>
            <w:tcW w:type="dxa" w:w="153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Simulation</w:t>
            </w:r>
          </w:p>
        </w:tc>
        <w:tc>
          <w:tcPr>
            <w:tcW w:type="dxa" w:w="6123"/>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Run CPU-intensive simulation outside the main UI thread.</w:t>
            </w:r>
          </w:p>
        </w:tc>
        <w:tc>
          <w:tcPr>
            <w:tcW w:type="dxa" w:w="10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Must</w:t>
            </w:r>
          </w:p>
        </w:tc>
      </w:tr>
      <w:tr>
        <w:trPr>
          <w:cantSplit/>
        </w:trPr>
        <w:tc>
          <w:tcPr>
            <w:tcW w:type="dxa" w:w="10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FR-024</w:t>
            </w:r>
          </w:p>
        </w:tc>
        <w:tc>
          <w:tcPr>
            <w:tcW w:type="dxa" w:w="1531"/>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Simulation</w:t>
            </w:r>
          </w:p>
        </w:tc>
        <w:tc>
          <w:tcPr>
            <w:tcW w:type="dxa" w:w="6123"/>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Provide progress updates suitable for long-running simulations.</w:t>
            </w:r>
          </w:p>
        </w:tc>
        <w:tc>
          <w:tcPr>
            <w:tcW w:type="dxa" w:w="10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Must</w:t>
            </w:r>
          </w:p>
        </w:tc>
      </w:tr>
      <w:tr>
        <w:trPr>
          <w:cantSplit/>
        </w:trPr>
        <w:tc>
          <w:tcPr>
            <w:tcW w:type="dxa" w:w="10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FR-025</w:t>
            </w:r>
          </w:p>
        </w:tc>
        <w:tc>
          <w:tcPr>
            <w:tcW w:type="dxa" w:w="153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Simulation</w:t>
            </w:r>
          </w:p>
        </w:tc>
        <w:tc>
          <w:tcPr>
            <w:tcW w:type="dxa" w:w="6123"/>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Allow the user to cancel an active simulation.</w:t>
            </w:r>
          </w:p>
        </w:tc>
        <w:tc>
          <w:tcPr>
            <w:tcW w:type="dxa" w:w="10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Must</w:t>
            </w:r>
          </w:p>
        </w:tc>
      </w:tr>
      <w:tr>
        <w:trPr>
          <w:cantSplit/>
        </w:trPr>
        <w:tc>
          <w:tcPr>
            <w:tcW w:type="dxa" w:w="10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FR-026</w:t>
            </w:r>
          </w:p>
        </w:tc>
        <w:tc>
          <w:tcPr>
            <w:tcW w:type="dxa" w:w="1531"/>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Simulation</w:t>
            </w:r>
          </w:p>
        </w:tc>
        <w:tc>
          <w:tcPr>
            <w:tcW w:type="dxa" w:w="6123"/>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Produce identical results for identical inputs and deterministic seed.</w:t>
            </w:r>
          </w:p>
        </w:tc>
        <w:tc>
          <w:tcPr>
            <w:tcW w:type="dxa" w:w="10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Must</w:t>
            </w:r>
          </w:p>
        </w:tc>
      </w:tr>
      <w:tr>
        <w:trPr>
          <w:cantSplit/>
        </w:trPr>
        <w:tc>
          <w:tcPr>
            <w:tcW w:type="dxa" w:w="10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FR-027</w:t>
            </w:r>
          </w:p>
        </w:tc>
        <w:tc>
          <w:tcPr>
            <w:tcW w:type="dxa" w:w="153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Simulation</w:t>
            </w:r>
          </w:p>
        </w:tc>
        <w:tc>
          <w:tcPr>
            <w:tcW w:type="dxa" w:w="6123"/>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Record a configuration fingerprint with each persisted result summary.</w:t>
            </w:r>
          </w:p>
        </w:tc>
        <w:tc>
          <w:tcPr>
            <w:tcW w:type="dxa" w:w="10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Should</w:t>
            </w:r>
          </w:p>
        </w:tc>
      </w:tr>
      <w:tr>
        <w:trPr>
          <w:cantSplit/>
        </w:trPr>
        <w:tc>
          <w:tcPr>
            <w:tcW w:type="dxa" w:w="10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FR-028</w:t>
            </w:r>
          </w:p>
        </w:tc>
        <w:tc>
          <w:tcPr>
            <w:tcW w:type="dxa" w:w="1531"/>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Analytics</w:t>
            </w:r>
          </w:p>
        </w:tc>
        <w:tc>
          <w:tcPr>
            <w:tcW w:type="dxa" w:w="6123"/>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Calculate mean, median/P50, P90, P95, min/max and standard deviation for cycle time.</w:t>
            </w:r>
          </w:p>
        </w:tc>
        <w:tc>
          <w:tcPr>
            <w:tcW w:type="dxa" w:w="10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Must</w:t>
            </w:r>
          </w:p>
        </w:tc>
      </w:tr>
      <w:tr>
        <w:trPr>
          <w:cantSplit/>
        </w:trPr>
        <w:tc>
          <w:tcPr>
            <w:tcW w:type="dxa" w:w="10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FR-029</w:t>
            </w:r>
          </w:p>
        </w:tc>
        <w:tc>
          <w:tcPr>
            <w:tcW w:type="dxa" w:w="153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Analytics</w:t>
            </w:r>
          </w:p>
        </w:tc>
        <w:tc>
          <w:tcPr>
            <w:tcW w:type="dxa" w:w="6123"/>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Calculate expected and distribution-oriented process cost metrics.</w:t>
            </w:r>
          </w:p>
        </w:tc>
        <w:tc>
          <w:tcPr>
            <w:tcW w:type="dxa" w:w="10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Must</w:t>
            </w:r>
          </w:p>
        </w:tc>
      </w:tr>
      <w:tr>
        <w:trPr>
          <w:cantSplit/>
        </w:trPr>
        <w:tc>
          <w:tcPr>
            <w:tcW w:type="dxa" w:w="10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FR-030</w:t>
            </w:r>
          </w:p>
        </w:tc>
        <w:tc>
          <w:tcPr>
            <w:tcW w:type="dxa" w:w="1531"/>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Analytics</w:t>
            </w:r>
          </w:p>
        </w:tc>
        <w:tc>
          <w:tcPr>
            <w:tcW w:type="dxa" w:w="6123"/>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Calculate SLA compliance and breach probability.</w:t>
            </w:r>
          </w:p>
        </w:tc>
        <w:tc>
          <w:tcPr>
            <w:tcW w:type="dxa" w:w="10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Must</w:t>
            </w:r>
          </w:p>
        </w:tc>
      </w:tr>
      <w:tr>
        <w:trPr>
          <w:cantSplit/>
        </w:trPr>
        <w:tc>
          <w:tcPr>
            <w:tcW w:type="dxa" w:w="10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FR-031</w:t>
            </w:r>
          </w:p>
        </w:tc>
        <w:tc>
          <w:tcPr>
            <w:tcW w:type="dxa" w:w="153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Analytics</w:t>
            </w:r>
          </w:p>
        </w:tc>
        <w:tc>
          <w:tcPr>
            <w:tcW w:type="dxa" w:w="6123"/>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Calculate task execution frequency and duration contribution.</w:t>
            </w:r>
          </w:p>
        </w:tc>
        <w:tc>
          <w:tcPr>
            <w:tcW w:type="dxa" w:w="10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Must</w:t>
            </w:r>
          </w:p>
        </w:tc>
      </w:tr>
      <w:tr>
        <w:trPr>
          <w:cantSplit/>
        </w:trPr>
        <w:tc>
          <w:tcPr>
            <w:tcW w:type="dxa" w:w="10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FR-032</w:t>
            </w:r>
          </w:p>
        </w:tc>
        <w:tc>
          <w:tcPr>
            <w:tcW w:type="dxa" w:w="1531"/>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Analytics</w:t>
            </w:r>
          </w:p>
        </w:tc>
        <w:tc>
          <w:tcPr>
            <w:tcW w:type="dxa" w:w="6123"/>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Calculate branch/path frequency for supported process models.</w:t>
            </w:r>
          </w:p>
        </w:tc>
        <w:tc>
          <w:tcPr>
            <w:tcW w:type="dxa" w:w="10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Must</w:t>
            </w:r>
          </w:p>
        </w:tc>
      </w:tr>
      <w:tr>
        <w:trPr>
          <w:cantSplit/>
        </w:trPr>
        <w:tc>
          <w:tcPr>
            <w:tcW w:type="dxa" w:w="10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FR-033</w:t>
            </w:r>
          </w:p>
        </w:tc>
        <w:tc>
          <w:tcPr>
            <w:tcW w:type="dxa" w:w="153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Analytics</w:t>
            </w:r>
          </w:p>
        </w:tc>
        <w:tc>
          <w:tcPr>
            <w:tcW w:type="dxa" w:w="6123"/>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Produce a ranked bottleneck view with an explainable basis.</w:t>
            </w:r>
          </w:p>
        </w:tc>
        <w:tc>
          <w:tcPr>
            <w:tcW w:type="dxa" w:w="10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Must</w:t>
            </w:r>
          </w:p>
        </w:tc>
      </w:tr>
      <w:tr>
        <w:trPr>
          <w:cantSplit/>
        </w:trPr>
        <w:tc>
          <w:tcPr>
            <w:tcW w:type="dxa" w:w="10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FR-034</w:t>
            </w:r>
          </w:p>
        </w:tc>
        <w:tc>
          <w:tcPr>
            <w:tcW w:type="dxa" w:w="1531"/>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Scenarios</w:t>
            </w:r>
          </w:p>
        </w:tc>
        <w:tc>
          <w:tcPr>
            <w:tcW w:type="dxa" w:w="6123"/>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Maintain multiple scenarios per project.</w:t>
            </w:r>
          </w:p>
        </w:tc>
        <w:tc>
          <w:tcPr>
            <w:tcW w:type="dxa" w:w="10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Must</w:t>
            </w:r>
          </w:p>
        </w:tc>
      </w:tr>
      <w:tr>
        <w:trPr>
          <w:cantSplit/>
        </w:trPr>
        <w:tc>
          <w:tcPr>
            <w:tcW w:type="dxa" w:w="10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FR-035</w:t>
            </w:r>
          </w:p>
        </w:tc>
        <w:tc>
          <w:tcPr>
            <w:tcW w:type="dxa" w:w="153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Scenarios</w:t>
            </w:r>
          </w:p>
        </w:tc>
        <w:tc>
          <w:tcPr>
            <w:tcW w:type="dxa" w:w="6123"/>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Duplicate a scenario including its simulation assumptions.</w:t>
            </w:r>
          </w:p>
        </w:tc>
        <w:tc>
          <w:tcPr>
            <w:tcW w:type="dxa" w:w="10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Must</w:t>
            </w:r>
          </w:p>
        </w:tc>
      </w:tr>
      <w:tr>
        <w:trPr>
          <w:cantSplit/>
        </w:trPr>
        <w:tc>
          <w:tcPr>
            <w:tcW w:type="dxa" w:w="10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FR-036</w:t>
            </w:r>
          </w:p>
        </w:tc>
        <w:tc>
          <w:tcPr>
            <w:tcW w:type="dxa" w:w="1531"/>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Scenarios</w:t>
            </w:r>
          </w:p>
        </w:tc>
        <w:tc>
          <w:tcPr>
            <w:tcW w:type="dxa" w:w="6123"/>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Compare two scenario result sets using absolute and percentage deltas.</w:t>
            </w:r>
          </w:p>
        </w:tc>
        <w:tc>
          <w:tcPr>
            <w:tcW w:type="dxa" w:w="10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Must</w:t>
            </w:r>
          </w:p>
        </w:tc>
      </w:tr>
      <w:tr>
        <w:trPr>
          <w:cantSplit/>
        </w:trPr>
        <w:tc>
          <w:tcPr>
            <w:tcW w:type="dxa" w:w="10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FR-037</w:t>
            </w:r>
          </w:p>
        </w:tc>
        <w:tc>
          <w:tcPr>
            <w:tcW w:type="dxa" w:w="153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Scenarios</w:t>
            </w:r>
          </w:p>
        </w:tc>
        <w:tc>
          <w:tcPr>
            <w:tcW w:type="dxa" w:w="6123"/>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Warn when compared results are stale relative to changed scenario configuration.</w:t>
            </w:r>
          </w:p>
        </w:tc>
        <w:tc>
          <w:tcPr>
            <w:tcW w:type="dxa" w:w="10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Should</w:t>
            </w:r>
          </w:p>
        </w:tc>
      </w:tr>
      <w:tr>
        <w:trPr>
          <w:cantSplit/>
        </w:trPr>
        <w:tc>
          <w:tcPr>
            <w:tcW w:type="dxa" w:w="10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FR-038</w:t>
            </w:r>
          </w:p>
        </w:tc>
        <w:tc>
          <w:tcPr>
            <w:tcW w:type="dxa" w:w="1531"/>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Import/Export</w:t>
            </w:r>
          </w:p>
        </w:tc>
        <w:tc>
          <w:tcPr>
            <w:tcW w:type="dxa" w:w="6123"/>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Import a compatible BPMN XML file entirely client-side.</w:t>
            </w:r>
          </w:p>
        </w:tc>
        <w:tc>
          <w:tcPr>
            <w:tcW w:type="dxa" w:w="10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Must</w:t>
            </w:r>
          </w:p>
        </w:tc>
      </w:tr>
      <w:tr>
        <w:trPr>
          <w:cantSplit/>
        </w:trPr>
        <w:tc>
          <w:tcPr>
            <w:tcW w:type="dxa" w:w="10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FR-039</w:t>
            </w:r>
          </w:p>
        </w:tc>
        <w:tc>
          <w:tcPr>
            <w:tcW w:type="dxa" w:w="153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Import/Export</w:t>
            </w:r>
          </w:p>
        </w:tc>
        <w:tc>
          <w:tcPr>
            <w:tcW w:type="dxa" w:w="6123"/>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Export the current supported BPMN model.</w:t>
            </w:r>
          </w:p>
        </w:tc>
        <w:tc>
          <w:tcPr>
            <w:tcW w:type="dxa" w:w="10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Must</w:t>
            </w:r>
          </w:p>
        </w:tc>
      </w:tr>
      <w:tr>
        <w:trPr>
          <w:cantSplit/>
        </w:trPr>
        <w:tc>
          <w:tcPr>
            <w:tcW w:type="dxa" w:w="10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FR-040</w:t>
            </w:r>
          </w:p>
        </w:tc>
        <w:tc>
          <w:tcPr>
            <w:tcW w:type="dxa" w:w="1531"/>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Import/Export</w:t>
            </w:r>
          </w:p>
        </w:tc>
        <w:tc>
          <w:tcPr>
            <w:tcW w:type="dxa" w:w="6123"/>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Export a versioned AridentFlow project package.</w:t>
            </w:r>
          </w:p>
        </w:tc>
        <w:tc>
          <w:tcPr>
            <w:tcW w:type="dxa" w:w="10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Must</w:t>
            </w:r>
          </w:p>
        </w:tc>
      </w:tr>
      <w:tr>
        <w:trPr>
          <w:cantSplit/>
        </w:trPr>
        <w:tc>
          <w:tcPr>
            <w:tcW w:type="dxa" w:w="10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FR-041</w:t>
            </w:r>
          </w:p>
        </w:tc>
        <w:tc>
          <w:tcPr>
            <w:tcW w:type="dxa" w:w="153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Import/Export</w:t>
            </w:r>
          </w:p>
        </w:tc>
        <w:tc>
          <w:tcPr>
            <w:tcW w:type="dxa" w:w="6123"/>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Validate and import an AridentFlow project package created by a supported schema version.</w:t>
            </w:r>
          </w:p>
        </w:tc>
        <w:tc>
          <w:tcPr>
            <w:tcW w:type="dxa" w:w="10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Must</w:t>
            </w:r>
          </w:p>
        </w:tc>
      </w:tr>
      <w:tr>
        <w:trPr>
          <w:cantSplit/>
        </w:trPr>
        <w:tc>
          <w:tcPr>
            <w:tcW w:type="dxa" w:w="10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FR-042</w:t>
            </w:r>
          </w:p>
        </w:tc>
        <w:tc>
          <w:tcPr>
            <w:tcW w:type="dxa" w:w="1531"/>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Reporting</w:t>
            </w:r>
          </w:p>
        </w:tc>
        <w:tc>
          <w:tcPr>
            <w:tcW w:type="dxa" w:w="6123"/>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Provide a print-friendly executive summary of selected scenario results.</w:t>
            </w:r>
          </w:p>
        </w:tc>
        <w:tc>
          <w:tcPr>
            <w:tcW w:type="dxa" w:w="10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Must</w:t>
            </w:r>
          </w:p>
        </w:tc>
      </w:tr>
      <w:tr>
        <w:trPr>
          <w:cantSplit/>
        </w:trPr>
        <w:tc>
          <w:tcPr>
            <w:tcW w:type="dxa" w:w="10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FR-043</w:t>
            </w:r>
          </w:p>
        </w:tc>
        <w:tc>
          <w:tcPr>
            <w:tcW w:type="dxa" w:w="153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Preferences</w:t>
            </w:r>
          </w:p>
        </w:tc>
        <w:tc>
          <w:tcPr>
            <w:tcW w:type="dxa" w:w="6123"/>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Persist theme and non-sensitive editor preferences locally.</w:t>
            </w:r>
          </w:p>
        </w:tc>
        <w:tc>
          <w:tcPr>
            <w:tcW w:type="dxa" w:w="10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Should</w:t>
            </w:r>
          </w:p>
        </w:tc>
      </w:tr>
      <w:tr>
        <w:trPr>
          <w:cantSplit/>
        </w:trPr>
        <w:tc>
          <w:tcPr>
            <w:tcW w:type="dxa" w:w="10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FR-044</w:t>
            </w:r>
          </w:p>
        </w:tc>
        <w:tc>
          <w:tcPr>
            <w:tcW w:type="dxa" w:w="1531"/>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Accessibility</w:t>
            </w:r>
          </w:p>
        </w:tc>
        <w:tc>
          <w:tcPr>
            <w:tcW w:type="dxa" w:w="6123"/>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Expose primary controls through keyboard navigation and semantic labels.</w:t>
            </w:r>
          </w:p>
        </w:tc>
        <w:tc>
          <w:tcPr>
            <w:tcW w:type="dxa" w:w="10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Must</w:t>
            </w:r>
          </w:p>
        </w:tc>
      </w:tr>
      <w:tr>
        <w:trPr>
          <w:cantSplit/>
        </w:trPr>
        <w:tc>
          <w:tcPr>
            <w:tcW w:type="dxa" w:w="10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FR-045</w:t>
            </w:r>
          </w:p>
        </w:tc>
        <w:tc>
          <w:tcPr>
            <w:tcW w:type="dxa" w:w="153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Accessibility</w:t>
            </w:r>
          </w:p>
        </w:tc>
        <w:tc>
          <w:tcPr>
            <w:tcW w:type="dxa" w:w="6123"/>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Provide non-color indicators for validation and comparison status.</w:t>
            </w:r>
          </w:p>
        </w:tc>
        <w:tc>
          <w:tcPr>
            <w:tcW w:type="dxa" w:w="10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4"/>
              </w:rPr>
              <w:t>Must</w:t>
            </w:r>
          </w:p>
        </w:tc>
      </w:tr>
    </w:tbl>
    <w:p>
      <w:pPr>
        <w:spacing w:after="0"/>
      </w:pPr>
    </w:p>
    <w:p>
      <w:pPr>
        <w:pStyle w:val="Heading1"/>
        <w:keepNext/>
        <w:spacing w:before="200" w:after="80" w:line="269" w:lineRule="auto"/>
      </w:pPr>
      <w:r>
        <w:rPr>
          <w:rFonts w:ascii="Inter Display" w:hAnsi="Inter Display" w:eastAsia="Inter Display"/>
          <w:b/>
          <w:color w:val="B87333"/>
          <w:sz w:val="22"/>
        </w:rPr>
        <w:t>11</w:t>
      </w:r>
      <w:r>
        <w:rPr>
          <w:rFonts w:ascii="Inter Display" w:hAnsi="Inter Display" w:eastAsia="Inter Display"/>
          <w:b/>
          <w:color w:val="5A0F1A"/>
          <w:sz w:val="36"/>
        </w:rPr>
        <w:t xml:space="preserve">  Non-Functional Requirements</w:t>
      </w:r>
    </w:p>
    <w:p>
      <w:pPr>
        <w:spacing w:before="0" w:after="140" w:line="269" w:lineRule="auto"/>
      </w:pPr>
      <w:r>
        <w:rPr>
          <w:rFonts w:ascii="Inter" w:hAnsi="Inter" w:eastAsia="Inter"/>
          <w:i/>
          <w:color w:val="667085"/>
          <w:sz w:val="18"/>
        </w:rPr>
        <w:t>Quality attributes that define production readiness, not optional polish.</w:t>
      </w:r>
    </w:p>
    <w:p>
      <w:pPr>
        <w:spacing w:before="0" w:after="140" w:line="269" w:lineRule="auto"/>
        <w:pBdr>
          <w:bottom w:val="single" w:sz="7" w:space="1" w:color="C9B2B5"/>
        </w:pBdr>
      </w:pP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1077"/>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ID</w:t>
            </w:r>
          </w:p>
        </w:tc>
        <w:tc>
          <w:tcPr>
            <w:tcW w:type="dxa" w:w="1928"/>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Attribute</w:t>
            </w:r>
          </w:p>
        </w:tc>
        <w:tc>
          <w:tcPr>
            <w:tcW w:type="dxa" w:w="6690"/>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Requirement</w:t>
            </w:r>
          </w:p>
        </w:tc>
      </w:tr>
      <w:tr>
        <w:trPr>
          <w:cantSplit/>
        </w:trPr>
        <w:tc>
          <w:tcPr>
            <w:tcW w:type="dxa" w:w="1077"/>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NFR-001</w:t>
            </w:r>
          </w:p>
        </w:tc>
        <w:tc>
          <w:tcPr>
            <w:tcW w:type="dxa" w:w="192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Privacy</w:t>
            </w:r>
          </w:p>
        </w:tc>
        <w:tc>
          <w:tcPr>
            <w:tcW w:type="dxa" w:w="669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Core project content shall not be intentionally transmitted to an AridentFlow application server in the MVP.</w:t>
            </w:r>
          </w:p>
        </w:tc>
      </w:tr>
      <w:tr>
        <w:trPr>
          <w:cantSplit/>
        </w:trPr>
        <w:tc>
          <w:tcPr>
            <w:tcW w:type="dxa" w:w="1077"/>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NFR-002</w:t>
            </w:r>
          </w:p>
        </w:tc>
        <w:tc>
          <w:tcPr>
            <w:tcW w:type="dxa" w:w="192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Offline resilience</w:t>
            </w:r>
          </w:p>
        </w:tc>
        <w:tc>
          <w:tcPr>
            <w:tcW w:type="dxa" w:w="669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Persisted projects shall survive normal refresh/restart conditions supported by the browser storage model.</w:t>
            </w:r>
          </w:p>
        </w:tc>
      </w:tr>
      <w:tr>
        <w:trPr>
          <w:cantSplit/>
        </w:trPr>
        <w:tc>
          <w:tcPr>
            <w:tcW w:type="dxa" w:w="1077"/>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NFR-003</w:t>
            </w:r>
          </w:p>
        </w:tc>
        <w:tc>
          <w:tcPr>
            <w:tcW w:type="dxa" w:w="192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Accessibility</w:t>
            </w:r>
          </w:p>
        </w:tc>
        <w:tc>
          <w:tcPr>
            <w:tcW w:type="dxa" w:w="669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Standard application controls shall target WCAG 2.2 AA practices; graphical modeling shall provide reasonable complementary navigation.</w:t>
            </w:r>
          </w:p>
        </w:tc>
      </w:tr>
      <w:tr>
        <w:trPr>
          <w:cantSplit/>
        </w:trPr>
        <w:tc>
          <w:tcPr>
            <w:tcW w:type="dxa" w:w="1077"/>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NFR-004</w:t>
            </w:r>
          </w:p>
        </w:tc>
        <w:tc>
          <w:tcPr>
            <w:tcW w:type="dxa" w:w="192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Responsiveness</w:t>
            </w:r>
          </w:p>
        </w:tc>
        <w:tc>
          <w:tcPr>
            <w:tcW w:type="dxa" w:w="669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Dashboards/reports shall adapt to desktop, tablet and mobile; full diagram authoring is desktop-first.</w:t>
            </w:r>
          </w:p>
        </w:tc>
      </w:tr>
      <w:tr>
        <w:trPr>
          <w:cantSplit/>
        </w:trPr>
        <w:tc>
          <w:tcPr>
            <w:tcW w:type="dxa" w:w="1077"/>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NFR-005</w:t>
            </w:r>
          </w:p>
        </w:tc>
        <w:tc>
          <w:tcPr>
            <w:tcW w:type="dxa" w:w="192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Reliability</w:t>
            </w:r>
          </w:p>
        </w:tc>
        <w:tc>
          <w:tcPr>
            <w:tcW w:type="dxa" w:w="669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Autosave and import/export failures shall be surfaced explicitly and shall not silently discard project state.</w:t>
            </w:r>
          </w:p>
        </w:tc>
      </w:tr>
      <w:tr>
        <w:trPr>
          <w:cantSplit/>
        </w:trPr>
        <w:tc>
          <w:tcPr>
            <w:tcW w:type="dxa" w:w="1077"/>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NFR-006</w:t>
            </w:r>
          </w:p>
        </w:tc>
        <w:tc>
          <w:tcPr>
            <w:tcW w:type="dxa" w:w="192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Determinism</w:t>
            </w:r>
          </w:p>
        </w:tc>
        <w:tc>
          <w:tcPr>
            <w:tcW w:type="dxa" w:w="669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Identical simulation input plus seed shall result in identical deterministic output.</w:t>
            </w:r>
          </w:p>
        </w:tc>
      </w:tr>
      <w:tr>
        <w:trPr>
          <w:cantSplit/>
        </w:trPr>
        <w:tc>
          <w:tcPr>
            <w:tcW w:type="dxa" w:w="1077"/>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NFR-007</w:t>
            </w:r>
          </w:p>
        </w:tc>
        <w:tc>
          <w:tcPr>
            <w:tcW w:type="dxa" w:w="192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Maintainability</w:t>
            </w:r>
          </w:p>
        </w:tc>
        <w:tc>
          <w:tcPr>
            <w:tcW w:type="dxa" w:w="669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Domain simulation code shall not depend directly on React, Next.js, bpmn-js, Dexie or charting libraries.</w:t>
            </w:r>
          </w:p>
        </w:tc>
      </w:tr>
      <w:tr>
        <w:trPr>
          <w:cantSplit/>
        </w:trPr>
        <w:tc>
          <w:tcPr>
            <w:tcW w:type="dxa" w:w="1077"/>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NFR-008</w:t>
            </w:r>
          </w:p>
        </w:tc>
        <w:tc>
          <w:tcPr>
            <w:tcW w:type="dxa" w:w="192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Testability</w:t>
            </w:r>
          </w:p>
        </w:tc>
        <w:tc>
          <w:tcPr>
            <w:tcW w:type="dxa" w:w="669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Simulation and analytical calculations shall execute in ordinary TypeScript tests without rendering the UI.</w:t>
            </w:r>
          </w:p>
        </w:tc>
      </w:tr>
      <w:tr>
        <w:trPr>
          <w:cantSplit/>
        </w:trPr>
        <w:tc>
          <w:tcPr>
            <w:tcW w:type="dxa" w:w="1077"/>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NFR-009</w:t>
            </w:r>
          </w:p>
        </w:tc>
        <w:tc>
          <w:tcPr>
            <w:tcW w:type="dxa" w:w="192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Performance</w:t>
            </w:r>
          </w:p>
        </w:tc>
        <w:tc>
          <w:tcPr>
            <w:tcW w:type="dxa" w:w="669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Long-running simulation shall not intentionally execute on the main UI thread.</w:t>
            </w:r>
          </w:p>
        </w:tc>
      </w:tr>
      <w:tr>
        <w:trPr>
          <w:cantSplit/>
        </w:trPr>
        <w:tc>
          <w:tcPr>
            <w:tcW w:type="dxa" w:w="1077"/>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NFR-010</w:t>
            </w:r>
          </w:p>
        </w:tc>
        <w:tc>
          <w:tcPr>
            <w:tcW w:type="dxa" w:w="192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Security</w:t>
            </w:r>
          </w:p>
        </w:tc>
        <w:tc>
          <w:tcPr>
            <w:tcW w:type="dxa" w:w="669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Imported project/BPMN files shall be treated as untrusted input and validated before use.</w:t>
            </w:r>
          </w:p>
        </w:tc>
      </w:tr>
      <w:tr>
        <w:trPr>
          <w:cantSplit/>
        </w:trPr>
        <w:tc>
          <w:tcPr>
            <w:tcW w:type="dxa" w:w="1077"/>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NFR-011</w:t>
            </w:r>
          </w:p>
        </w:tc>
        <w:tc>
          <w:tcPr>
            <w:tcW w:type="dxa" w:w="192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Observability</w:t>
            </w:r>
          </w:p>
        </w:tc>
        <w:tc>
          <w:tcPr>
            <w:tcW w:type="dxa" w:w="669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Local error diagnostics may be surfaced to the user; third-party telemetry is not required for MVP.</w:t>
            </w:r>
          </w:p>
        </w:tc>
      </w:tr>
      <w:tr>
        <w:trPr>
          <w:cantSplit/>
        </w:trPr>
        <w:tc>
          <w:tcPr>
            <w:tcW w:type="dxa" w:w="1077"/>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NFR-012</w:t>
            </w:r>
          </w:p>
        </w:tc>
        <w:tc>
          <w:tcPr>
            <w:tcW w:type="dxa" w:w="192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Compatibility</w:t>
            </w:r>
          </w:p>
        </w:tc>
        <w:tc>
          <w:tcPr>
            <w:tcW w:type="dxa" w:w="669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Primary support shall cover current evergreen Chrome, Edge and Firefox, with Safari validated for core workflows.</w:t>
            </w:r>
          </w:p>
        </w:tc>
      </w:tr>
      <w:tr>
        <w:trPr>
          <w:cantSplit/>
        </w:trPr>
        <w:tc>
          <w:tcPr>
            <w:tcW w:type="dxa" w:w="1077"/>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NFR-013</w:t>
            </w:r>
          </w:p>
        </w:tc>
        <w:tc>
          <w:tcPr>
            <w:tcW w:type="dxa" w:w="192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Cost</w:t>
            </w:r>
          </w:p>
        </w:tc>
        <w:tc>
          <w:tcPr>
            <w:tcW w:type="dxa" w:w="669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Core application functionality shall require no paid runtime API, database, authentication or analytics service.</w:t>
            </w:r>
          </w:p>
        </w:tc>
      </w:tr>
      <w:tr>
        <w:trPr>
          <w:cantSplit/>
        </w:trPr>
        <w:tc>
          <w:tcPr>
            <w:tcW w:type="dxa" w:w="1077"/>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NFR-014</w:t>
            </w:r>
          </w:p>
        </w:tc>
        <w:tc>
          <w:tcPr>
            <w:tcW w:type="dxa" w:w="192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Portability</w:t>
            </w:r>
          </w:p>
        </w:tc>
        <w:tc>
          <w:tcPr>
            <w:tcW w:type="dxa" w:w="669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Static build output shall be deployable without a long-running Node.js application server.</w:t>
            </w:r>
          </w:p>
        </w:tc>
      </w:tr>
      <w:tr>
        <w:trPr>
          <w:cantSplit/>
        </w:trPr>
        <w:tc>
          <w:tcPr>
            <w:tcW w:type="dxa" w:w="1077"/>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NFR-015</w:t>
            </w:r>
          </w:p>
        </w:tc>
        <w:tc>
          <w:tcPr>
            <w:tcW w:type="dxa" w:w="192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Recoverability</w:t>
            </w:r>
          </w:p>
        </w:tc>
        <w:tc>
          <w:tcPr>
            <w:tcW w:type="dxa" w:w="669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Important projects shall be exportable to a portable local file because browser storage is not a substitute for enterprise backup.</w:t>
            </w:r>
          </w:p>
        </w:tc>
      </w:tr>
    </w:tbl>
    <w:p>
      <w:pPr>
        <w:spacing w:after="0"/>
      </w:pPr>
    </w:p>
    <w:p>
      <w:pPr>
        <w:pStyle w:val="Heading2"/>
        <w:keepNext/>
        <w:spacing w:before="140" w:after="60" w:line="269" w:lineRule="auto"/>
      </w:pPr>
      <w:r>
        <w:rPr>
          <w:rFonts w:ascii="Inter Display" w:hAnsi="Inter Display" w:eastAsia="Inter Display"/>
          <w:b/>
          <w:color w:val="7B0F22"/>
          <w:sz w:val="23"/>
        </w:rPr>
        <w:t>Quality gates</w:t>
      </w:r>
    </w:p>
    <w:p>
      <w:pPr>
        <w:pStyle w:val="ListBullet"/>
        <w:spacing w:before="0" w:after="48" w:line="259" w:lineRule="auto"/>
      </w:pPr>
      <w:r>
        <w:rPr>
          <w:rFonts w:ascii="Inter" w:hAnsi="Inter" w:eastAsia="Inter"/>
          <w:color w:val="20242A"/>
          <w:sz w:val="18"/>
        </w:rPr>
        <w:t>No P0 release with known critical data-loss defects.</w:t>
      </w:r>
    </w:p>
    <w:p>
      <w:pPr>
        <w:pStyle w:val="ListBullet"/>
        <w:spacing w:before="0" w:after="48" w:line="259" w:lineRule="auto"/>
      </w:pPr>
      <w:r>
        <w:rPr>
          <w:rFonts w:ascii="Inter" w:hAnsi="Inter" w:eastAsia="Inter"/>
          <w:color w:val="20242A"/>
          <w:sz w:val="18"/>
        </w:rPr>
        <w:t>No P0 release with simulation determinism failures.</w:t>
      </w:r>
    </w:p>
    <w:p>
      <w:pPr>
        <w:pStyle w:val="ListBullet"/>
        <w:spacing w:before="0" w:after="48" w:line="259" w:lineRule="auto"/>
      </w:pPr>
      <w:r>
        <w:rPr>
          <w:rFonts w:ascii="Inter" w:hAnsi="Inter" w:eastAsia="Inter"/>
          <w:color w:val="20242A"/>
          <w:sz w:val="18"/>
        </w:rPr>
        <w:t>No P0 release where a valid template workflow blocks the UI during execution.</w:t>
      </w:r>
    </w:p>
    <w:p>
      <w:pPr>
        <w:pStyle w:val="ListBullet"/>
        <w:spacing w:before="0" w:after="48" w:line="259" w:lineRule="auto"/>
      </w:pPr>
      <w:r>
        <w:rPr>
          <w:rFonts w:ascii="Inter" w:hAnsi="Inter" w:eastAsia="Inter"/>
          <w:color w:val="20242A"/>
          <w:sz w:val="18"/>
        </w:rPr>
        <w:t>No P0 release with unresolved critical/high dependency vulnerabilities without documented disposition.</w:t>
      </w:r>
    </w:p>
    <w:p>
      <w:pPr>
        <w:pStyle w:val="ListBullet"/>
        <w:spacing w:before="0" w:after="48" w:line="259" w:lineRule="auto"/>
      </w:pPr>
      <w:r>
        <w:rPr>
          <w:rFonts w:ascii="Inter" w:hAnsi="Inter" w:eastAsia="Inter"/>
          <w:color w:val="20242A"/>
          <w:sz w:val="18"/>
        </w:rPr>
        <w:t>No P0 release without a verified export/import recovery path.</w:t>
      </w:r>
    </w:p>
    <w:p>
      <w:r>
        <w:br w:type="page"/>
      </w:r>
    </w:p>
    <w:p>
      <w:pPr>
        <w:pStyle w:val="Heading1"/>
        <w:keepNext/>
        <w:spacing w:before="200" w:after="80" w:line="269" w:lineRule="auto"/>
      </w:pPr>
      <w:r>
        <w:rPr>
          <w:rFonts w:ascii="Inter Display" w:hAnsi="Inter Display" w:eastAsia="Inter Display"/>
          <w:b/>
          <w:color w:val="B87333"/>
          <w:sz w:val="22"/>
        </w:rPr>
        <w:t>12</w:t>
      </w:r>
      <w:r>
        <w:rPr>
          <w:rFonts w:ascii="Inter Display" w:hAnsi="Inter Display" w:eastAsia="Inter Display"/>
          <w:b/>
          <w:color w:val="5A0F1A"/>
          <w:sz w:val="36"/>
        </w:rPr>
        <w:t xml:space="preserve">  UI/UX Design Direction</w:t>
      </w:r>
    </w:p>
    <w:p>
      <w:pPr>
        <w:spacing w:before="0" w:after="140" w:line="269" w:lineRule="auto"/>
      </w:pPr>
      <w:r>
        <w:rPr>
          <w:rFonts w:ascii="Inter" w:hAnsi="Inter" w:eastAsia="Inter"/>
          <w:i/>
          <w:color w:val="667085"/>
          <w:sz w:val="18"/>
        </w:rPr>
        <w:t>A premium enterprise interface optimized for understanding, not decoration.</w:t>
      </w:r>
    </w:p>
    <w:p>
      <w:pPr>
        <w:spacing w:before="0" w:after="140" w:line="269" w:lineRule="auto"/>
        <w:pBdr>
          <w:bottom w:val="single" w:sz="7" w:space="1" w:color="C9B2B5"/>
        </w:pBdr>
      </w:pPr>
    </w:p>
    <w:p>
      <w:pPr>
        <w:pStyle w:val="Heading2"/>
        <w:keepNext/>
        <w:spacing w:before="140" w:after="60" w:line="269" w:lineRule="auto"/>
      </w:pPr>
      <w:r>
        <w:rPr>
          <w:rFonts w:ascii="Inter Display" w:hAnsi="Inter Display" w:eastAsia="Inter Display"/>
          <w:b/>
          <w:color w:val="7B0F22"/>
          <w:sz w:val="23"/>
        </w:rPr>
        <w:t>Experience character</w:t>
      </w:r>
    </w:p>
    <w:p>
      <w:pPr>
        <w:pStyle w:val="BodyText"/>
        <w:spacing w:before="0" w:after="100" w:line="269" w:lineRule="auto"/>
      </w:pPr>
      <w:r>
        <w:rPr>
          <w:rFonts w:ascii="Inter" w:hAnsi="Inter" w:eastAsia="Inter"/>
          <w:i w:val="0"/>
          <w:color w:val="20242A"/>
        </w:rPr>
        <w:t>AridentFlow should feel like a professional engineering and decision-support workspace: calm, precise and dense enough for serious work without becoming visually heavy. The interface should avoid the “generic SaaS dashboard” pattern where every screen is a grid of equal-weight cards.</w:t>
      </w:r>
    </w:p>
    <w:tbl>
      <w:tblPr>
        <w:tblStyle w:val="TableGrid"/>
        <w:tblW w:type="auto" w:w="0"/>
        <w:jc w:val="center"/>
        <w:tblLook w:firstColumn="1" w:firstRow="1" w:lastColumn="0" w:lastRow="0" w:noHBand="0" w:noVBand="1" w:val="04A0"/>
      </w:tblPr>
      <w:tblGrid>
        <w:gridCol w:w="5046"/>
        <w:gridCol w:w="5046"/>
      </w:tblGrid>
      <w:tr>
        <w:trPr>
          <w:tblHeader w:val="true"/>
        </w:trPr>
        <w:tc>
          <w:tcPr>
            <w:tcW w:type="dxa" w:w="1984"/>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Design dimension</w:t>
            </w:r>
          </w:p>
        </w:tc>
        <w:tc>
          <w:tcPr>
            <w:tcW w:type="dxa" w:w="7370"/>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Direction</w:t>
            </w:r>
          </w:p>
        </w:tc>
      </w:tr>
      <w:tr>
        <w:trPr>
          <w:cantSplit/>
        </w:trPr>
        <w:tc>
          <w:tcPr>
            <w:tcW w:type="dxa" w:w="1984"/>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Brand</w:t>
            </w:r>
          </w:p>
        </w:tc>
        <w:tc>
          <w:tcPr>
            <w:tcW w:type="dxa" w:w="737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AridentRIS maroon/burgundy as the primary identity; copper/gold used sparingly for emphasis and product flow cues.</w:t>
            </w:r>
          </w:p>
        </w:tc>
      </w:tr>
      <w:tr>
        <w:trPr>
          <w:cantSplit/>
        </w:trPr>
        <w:tc>
          <w:tcPr>
            <w:tcW w:type="dxa" w:w="1984"/>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Typography</w:t>
            </w:r>
          </w:p>
        </w:tc>
        <w:tc>
          <w:tcPr>
            <w:tcW w:type="dxa" w:w="737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Modern sans-serif hierarchy with strong numeric legibility; display weight for section/metric hierarchy, neutral body text for density.</w:t>
            </w:r>
          </w:p>
        </w:tc>
      </w:tr>
      <w:tr>
        <w:trPr>
          <w:cantSplit/>
        </w:trPr>
        <w:tc>
          <w:tcPr>
            <w:tcW w:type="dxa" w:w="1984"/>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Layout</w:t>
            </w:r>
          </w:p>
        </w:tc>
        <w:tc>
          <w:tcPr>
            <w:tcW w:type="dxa" w:w="737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Desktop-first studio with command bar, central canvas, contextual inspector and collapsible insights area.</w:t>
            </w:r>
          </w:p>
        </w:tc>
      </w:tr>
      <w:tr>
        <w:trPr>
          <w:cantSplit/>
        </w:trPr>
        <w:tc>
          <w:tcPr>
            <w:tcW w:type="dxa" w:w="1984"/>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Analytics</w:t>
            </w:r>
          </w:p>
        </w:tc>
        <w:tc>
          <w:tcPr>
            <w:tcW w:type="dxa" w:w="737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Prioritize one headline conclusion, then supporting KPIs and distributions; do not force users to interpret raw charts without narrative context.</w:t>
            </w:r>
          </w:p>
        </w:tc>
      </w:tr>
      <w:tr>
        <w:trPr>
          <w:cantSplit/>
        </w:trPr>
        <w:tc>
          <w:tcPr>
            <w:tcW w:type="dxa" w:w="1984"/>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Motion</w:t>
            </w:r>
          </w:p>
        </w:tc>
        <w:tc>
          <w:tcPr>
            <w:tcW w:type="dxa" w:w="737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Use for state transition and orientation only; respect reduced-motion preferences; avoid decorative token animation by default.</w:t>
            </w:r>
          </w:p>
        </w:tc>
      </w:tr>
      <w:tr>
        <w:trPr>
          <w:cantSplit/>
        </w:trPr>
        <w:tc>
          <w:tcPr>
            <w:tcW w:type="dxa" w:w="1984"/>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Status</w:t>
            </w:r>
          </w:p>
        </w:tc>
        <w:tc>
          <w:tcPr>
            <w:tcW w:type="dxa" w:w="737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Validation/severity states use icon + label + color, never color alone.</w:t>
            </w:r>
          </w:p>
        </w:tc>
      </w:tr>
      <w:tr>
        <w:trPr>
          <w:cantSplit/>
        </w:trPr>
        <w:tc>
          <w:tcPr>
            <w:tcW w:type="dxa" w:w="1984"/>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Density</w:t>
            </w:r>
          </w:p>
        </w:tc>
        <w:tc>
          <w:tcPr>
            <w:tcW w:type="dxa" w:w="737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Comfortable default density with compact tables; avoid oversized consumer-style controls in the studio.</w:t>
            </w:r>
          </w:p>
        </w:tc>
      </w:tr>
      <w:tr>
        <w:trPr>
          <w:cantSplit/>
        </w:trPr>
        <w:tc>
          <w:tcPr>
            <w:tcW w:type="dxa" w:w="1984"/>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Dark mode</w:t>
            </w:r>
          </w:p>
        </w:tc>
        <w:tc>
          <w:tcPr>
            <w:tcW w:type="dxa" w:w="737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Supported only if it preserves diagram, chart and contrast quality; not allowed to delay MVP.</w:t>
            </w:r>
          </w:p>
        </w:tc>
      </w:tr>
    </w:tbl>
    <w:p>
      <w:pPr>
        <w:spacing w:after="0"/>
      </w:pPr>
    </w:p>
    <w:p>
      <w:pPr>
        <w:pStyle w:val="Heading2"/>
        <w:keepNext/>
        <w:spacing w:before="140" w:after="60" w:line="269" w:lineRule="auto"/>
      </w:pPr>
      <w:r>
        <w:rPr>
          <w:rFonts w:ascii="Inter Display" w:hAnsi="Inter Display" w:eastAsia="Inter Display"/>
          <w:b/>
          <w:color w:val="7B0F22"/>
          <w:sz w:val="23"/>
        </w:rPr>
        <w:t>Primary studio layout</w:t>
      </w: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2041"/>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Region</w:t>
            </w:r>
          </w:p>
        </w:tc>
        <w:tc>
          <w:tcPr>
            <w:tcW w:type="dxa" w:w="3628"/>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Purpose</w:t>
            </w:r>
          </w:p>
        </w:tc>
        <w:tc>
          <w:tcPr>
            <w:tcW w:type="dxa" w:w="3685"/>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UX rule</w:t>
            </w:r>
          </w:p>
        </w:tc>
      </w:tr>
      <w:tr>
        <w:trPr>
          <w:cantSplit/>
        </w:trPr>
        <w:tc>
          <w:tcPr>
            <w:tcW w:type="dxa" w:w="2041"/>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Command bar</w:t>
            </w:r>
          </w:p>
        </w:tc>
        <w:tc>
          <w:tcPr>
            <w:tcW w:type="dxa" w:w="362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Project, scenario, undo/redo, validate, simulate, export</w:t>
            </w:r>
          </w:p>
        </w:tc>
        <w:tc>
          <w:tcPr>
            <w:tcW w:type="dxa" w:w="3685"/>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Keep the critical loop continuously visible.</w:t>
            </w:r>
          </w:p>
        </w:tc>
      </w:tr>
      <w:tr>
        <w:trPr>
          <w:cantSplit/>
        </w:trPr>
        <w:tc>
          <w:tcPr>
            <w:tcW w:type="dxa" w:w="2041"/>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Canvas</w:t>
            </w:r>
          </w:p>
        </w:tc>
        <w:tc>
          <w:tcPr>
            <w:tcW w:type="dxa" w:w="362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Process modeling and selection</w:t>
            </w:r>
          </w:p>
        </w:tc>
        <w:tc>
          <w:tcPr>
            <w:tcW w:type="dxa" w:w="3685"/>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Canvas owns most horizontal area; no dashboard cards overlaid on modeling space.</w:t>
            </w:r>
          </w:p>
        </w:tc>
      </w:tr>
      <w:tr>
        <w:trPr>
          <w:cantSplit/>
        </w:trPr>
        <w:tc>
          <w:tcPr>
            <w:tcW w:type="dxa" w:w="2041"/>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Properties inspector</w:t>
            </w:r>
          </w:p>
        </w:tc>
        <w:tc>
          <w:tcPr>
            <w:tcW w:type="dxa" w:w="362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Element-specific simulation configuration</w:t>
            </w:r>
          </w:p>
        </w:tc>
        <w:tc>
          <w:tcPr>
            <w:tcW w:type="dxa" w:w="3685"/>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Show only fields relevant to selected element and current simulation semantics.</w:t>
            </w:r>
          </w:p>
        </w:tc>
      </w:tr>
      <w:tr>
        <w:trPr>
          <w:cantSplit/>
        </w:trPr>
        <w:tc>
          <w:tcPr>
            <w:tcW w:type="dxa" w:w="2041"/>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Insights drawer/panel</w:t>
            </w:r>
          </w:p>
        </w:tc>
        <w:tc>
          <w:tcPr>
            <w:tcW w:type="dxa" w:w="362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Validation or simulation context</w:t>
            </w:r>
          </w:p>
        </w:tc>
        <w:tc>
          <w:tcPr>
            <w:tcW w:type="dxa" w:w="3685"/>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Progressively disclose detail; do not permanently reduce canvas unless user chooses.</w:t>
            </w:r>
          </w:p>
        </w:tc>
      </w:tr>
      <w:tr>
        <w:trPr>
          <w:cantSplit/>
        </w:trPr>
        <w:tc>
          <w:tcPr>
            <w:tcW w:type="dxa" w:w="2041"/>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Analytics workspace</w:t>
            </w:r>
          </w:p>
        </w:tc>
        <w:tc>
          <w:tcPr>
            <w:tcW w:type="dxa" w:w="362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Post-run exploration and comparison</w:t>
            </w:r>
          </w:p>
        </w:tc>
        <w:tc>
          <w:tcPr>
            <w:tcW w:type="dxa" w:w="3685"/>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Enable full-width analytical reading; preserve a route back to the model context.</w:t>
            </w:r>
          </w:p>
        </w:tc>
      </w:tr>
    </w:tbl>
    <w:p>
      <w:pPr>
        <w:spacing w:after="0"/>
      </w:pPr>
    </w:p>
    <w:p>
      <w:pPr>
        <w:pStyle w:val="Heading2"/>
        <w:keepNext/>
        <w:spacing w:before="140" w:after="60" w:line="269" w:lineRule="auto"/>
      </w:pPr>
      <w:r>
        <w:rPr>
          <w:rFonts w:ascii="Inter Display" w:hAnsi="Inter Display" w:eastAsia="Inter Display"/>
          <w:b/>
          <w:color w:val="7B0F22"/>
          <w:sz w:val="23"/>
        </w:rPr>
        <w:t>Content design</w:t>
      </w:r>
    </w:p>
    <w:p>
      <w:pPr>
        <w:pStyle w:val="ListBullet"/>
        <w:spacing w:before="0" w:after="48" w:line="259" w:lineRule="auto"/>
      </w:pPr>
      <w:r>
        <w:rPr>
          <w:rFonts w:ascii="Inter" w:hAnsi="Inter" w:eastAsia="Inter"/>
          <w:color w:val="20242A"/>
          <w:sz w:val="18"/>
        </w:rPr>
        <w:t>Errors explain what happened, why it matters and how to fix it.</w:t>
      </w:r>
    </w:p>
    <w:p>
      <w:pPr>
        <w:pStyle w:val="ListBullet"/>
        <w:spacing w:before="0" w:after="48" w:line="259" w:lineRule="auto"/>
      </w:pPr>
      <w:r>
        <w:rPr>
          <w:rFonts w:ascii="Inter" w:hAnsi="Inter" w:eastAsia="Inter"/>
          <w:color w:val="20242A"/>
          <w:sz w:val="18"/>
        </w:rPr>
        <w:t>Statistical language uses plain-language labels first; formulas/advanced definitions live in help or tooltips.</w:t>
      </w:r>
    </w:p>
    <w:p>
      <w:pPr>
        <w:pStyle w:val="ListBullet"/>
        <w:spacing w:before="0" w:after="48" w:line="259" w:lineRule="auto"/>
      </w:pPr>
      <w:r>
        <w:rPr>
          <w:rFonts w:ascii="Inter" w:hAnsi="Inter" w:eastAsia="Inter"/>
          <w:color w:val="20242A"/>
          <w:sz w:val="18"/>
        </w:rPr>
        <w:t>Empty states contain a next action, not only a “No data” message.</w:t>
      </w:r>
    </w:p>
    <w:p>
      <w:pPr>
        <w:pStyle w:val="ListBullet"/>
        <w:spacing w:before="0" w:after="48" w:line="259" w:lineRule="auto"/>
      </w:pPr>
      <w:r>
        <w:rPr>
          <w:rFonts w:ascii="Inter" w:hAnsi="Inter" w:eastAsia="Inter"/>
          <w:color w:val="20242A"/>
          <w:sz w:val="18"/>
        </w:rPr>
        <w:t>Comparison language distinguishes “faster” from “better”: a lower cost may conflict with SLA or capacity goals.</w:t>
      </w:r>
    </w:p>
    <w:p>
      <w:pPr>
        <w:pStyle w:val="ListBullet"/>
        <w:spacing w:before="0" w:after="48" w:line="259" w:lineRule="auto"/>
      </w:pPr>
      <w:r>
        <w:rPr>
          <w:rFonts w:ascii="Inter" w:hAnsi="Inter" w:eastAsia="Inter"/>
          <w:color w:val="20242A"/>
          <w:sz w:val="18"/>
        </w:rPr>
        <w:t>Every analytics view exposes the scenario name and simulation basis to reduce screenshot ambiguity.</w:t>
      </w:r>
    </w:p>
    <w:tbl>
      <w:tblPr>
        <w:tblW w:type="auto" w:w="0"/>
        <w:jc w:val="center"/>
        <w:tblLayout w:type="autofit"/>
        <w:tblLook w:firstColumn="1" w:firstRow="1" w:lastColumn="0" w:lastRow="0" w:noHBand="0" w:noVBand="1" w:val="04A0"/>
      </w:tblPr>
      <w:tblGrid>
        <w:gridCol w:w="10092"/>
      </w:tblGrid>
      <w:tr>
        <w:trPr>
          <w:cantSplit/>
        </w:trPr>
        <w:tc>
          <w:tcPr>
            <w:tcW w:type="dxa" w:w="10092"/>
            <w:shd w:fill="FBF7EE"/>
            <w:tcMar>
              <w:top w:w="120" w:type="dxa"/>
              <w:start w:w="180" w:type="dxa"/>
              <w:bottom w:w="120" w:type="dxa"/>
              <w:end w:w="180" w:type="dxa"/>
            </w:tcMar>
            <w:tcBorders>
              <w:top w:val="nil"/>
              <w:left w:val="single" w:sz="20" w:color="B87333"/>
              <w:bottom w:val="nil"/>
              <w:right w:val="nil"/>
            </w:tcBorders>
          </w:tcPr>
          <w:p>
            <w:pPr>
              <w:spacing w:before="0" w:after="60" w:line="269" w:lineRule="auto"/>
            </w:pPr>
            <w:r>
              <w:rPr>
                <w:rFonts w:ascii="Inter" w:hAnsi="Inter" w:eastAsia="Inter"/>
                <w:b/>
                <w:color w:val="B87333"/>
                <w:sz w:val="16"/>
              </w:rPr>
              <w:t>ACCESSIBILITY DIFFERENTIATOR</w:t>
            </w:r>
          </w:p>
          <w:p>
            <w:pPr>
              <w:spacing w:before="0" w:after="0" w:line="269" w:lineRule="auto"/>
            </w:pPr>
            <w:r>
              <w:rPr>
                <w:rFonts w:ascii="Inter" w:hAnsi="Inter" w:eastAsia="Inter"/>
                <w:color w:val="20242A"/>
                <w:sz w:val="18"/>
              </w:rPr>
              <w:t>Add a textual Process Outline that lists elements, connections and validation states. It improves keyboard/screen-reader access and creates a useful secondary inspection mode even for sighted users.</w:t>
            </w:r>
          </w:p>
        </w:tc>
      </w:tr>
    </w:tbl>
    <w:p>
      <w:pPr>
        <w:spacing w:after="0"/>
      </w:pPr>
    </w:p>
    <w:p>
      <w:pPr>
        <w:pStyle w:val="Heading1"/>
        <w:keepNext/>
        <w:spacing w:before="200" w:after="80" w:line="269" w:lineRule="auto"/>
      </w:pPr>
      <w:r>
        <w:rPr>
          <w:rFonts w:ascii="Inter Display" w:hAnsi="Inter Display" w:eastAsia="Inter Display"/>
          <w:b/>
          <w:color w:val="B87333"/>
          <w:sz w:val="22"/>
        </w:rPr>
        <w:t>13</w:t>
      </w:r>
      <w:r>
        <w:rPr>
          <w:rFonts w:ascii="Inter Display" w:hAnsi="Inter Display" w:eastAsia="Inter Display"/>
          <w:b/>
          <w:color w:val="5A0F1A"/>
          <w:sz w:val="36"/>
        </w:rPr>
        <w:t xml:space="preserve">  Technology Stack</w:t>
      </w:r>
    </w:p>
    <w:p>
      <w:pPr>
        <w:spacing w:before="0" w:after="140" w:line="269" w:lineRule="auto"/>
      </w:pPr>
      <w:r>
        <w:rPr>
          <w:rFonts w:ascii="Inter" w:hAnsi="Inter" w:eastAsia="Inter"/>
          <w:i/>
          <w:color w:val="667085"/>
          <w:sz w:val="18"/>
        </w:rPr>
        <w:t>A modern client-only stack chosen for maintainability, portability and production-friendly licensing.</w:t>
      </w:r>
    </w:p>
    <w:p>
      <w:pPr>
        <w:spacing w:before="0" w:after="140" w:line="269" w:lineRule="auto"/>
        <w:pBdr>
          <w:bottom w:val="single" w:sz="7" w:space="1" w:color="C9B2B5"/>
        </w:pBdr>
      </w:pPr>
    </w:p>
    <w:tbl>
      <w:tblPr>
        <w:tblStyle w:val="TableGrid"/>
        <w:tblW w:type="auto" w:w="0"/>
        <w:jc w:val="center"/>
        <w:tblLook w:firstColumn="1" w:firstRow="1" w:lastColumn="0" w:lastRow="0" w:noHBand="0" w:noVBand="1" w:val="04A0"/>
      </w:tblPr>
      <w:tblGrid>
        <w:gridCol w:w="2523"/>
        <w:gridCol w:w="2523"/>
        <w:gridCol w:w="2523"/>
        <w:gridCol w:w="2523"/>
      </w:tblGrid>
      <w:tr>
        <w:trPr>
          <w:tblHeader w:val="true"/>
        </w:trPr>
        <w:tc>
          <w:tcPr>
            <w:tcW w:type="dxa" w:w="1928"/>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Technology</w:t>
            </w:r>
          </w:p>
        </w:tc>
        <w:tc>
          <w:tcPr>
            <w:tcW w:type="dxa" w:w="2438"/>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Role</w:t>
            </w:r>
          </w:p>
        </w:tc>
        <w:tc>
          <w:tcPr>
            <w:tcW w:type="dxa" w:w="1531"/>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License / model</w:t>
            </w:r>
          </w:p>
        </w:tc>
        <w:tc>
          <w:tcPr>
            <w:tcW w:type="dxa" w:w="3458"/>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Decision</w:t>
            </w:r>
          </w:p>
        </w:tc>
      </w:tr>
      <w:tr>
        <w:trPr>
          <w:cantSplit/>
        </w:trPr>
        <w:tc>
          <w:tcPr>
            <w:tcW w:type="dxa" w:w="192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Next.js (App Router)</w:t>
            </w:r>
          </w:p>
        </w:tc>
        <w:tc>
          <w:tcPr>
            <w:tcW w:type="dxa" w:w="243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Application shell and static-export routing</w:t>
            </w:r>
          </w:p>
        </w:tc>
        <w:tc>
          <w:tcPr>
            <w:tcW w:type="dxa" w:w="153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MIT</w:t>
            </w:r>
          </w:p>
        </w:tc>
        <w:tc>
          <w:tcPr>
            <w:tcW w:type="dxa" w:w="345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Use static export; avoid server-only features in core app.</w:t>
            </w:r>
          </w:p>
        </w:tc>
      </w:tr>
      <w:tr>
        <w:trPr>
          <w:cantSplit/>
        </w:trPr>
        <w:tc>
          <w:tcPr>
            <w:tcW w:type="dxa" w:w="192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TypeScript</w:t>
            </w:r>
          </w:p>
        </w:tc>
        <w:tc>
          <w:tcPr>
            <w:tcW w:type="dxa" w:w="243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Domain/application/UI language</w:t>
            </w:r>
          </w:p>
        </w:tc>
        <w:tc>
          <w:tcPr>
            <w:tcW w:type="dxa" w:w="1531"/>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Apache-2.0</w:t>
            </w:r>
          </w:p>
        </w:tc>
        <w:tc>
          <w:tcPr>
            <w:tcW w:type="dxa" w:w="345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Strict mode; pin stable version in lockfile.</w:t>
            </w:r>
          </w:p>
        </w:tc>
      </w:tr>
      <w:tr>
        <w:trPr>
          <w:cantSplit/>
        </w:trPr>
        <w:tc>
          <w:tcPr>
            <w:tcW w:type="dxa" w:w="192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Tailwind CSS</w:t>
            </w:r>
          </w:p>
        </w:tc>
        <w:tc>
          <w:tcPr>
            <w:tcW w:type="dxa" w:w="243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Design tokens and styling</w:t>
            </w:r>
          </w:p>
        </w:tc>
        <w:tc>
          <w:tcPr>
            <w:tcW w:type="dxa" w:w="153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MIT</w:t>
            </w:r>
          </w:p>
        </w:tc>
        <w:tc>
          <w:tcPr>
            <w:tcW w:type="dxa" w:w="345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Own AridentFlow design system; do not ship a default template aesthetic.</w:t>
            </w:r>
          </w:p>
        </w:tc>
      </w:tr>
      <w:tr>
        <w:trPr>
          <w:cantSplit/>
        </w:trPr>
        <w:tc>
          <w:tcPr>
            <w:tcW w:type="dxa" w:w="192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bpmn-js</w:t>
            </w:r>
          </w:p>
        </w:tc>
        <w:tc>
          <w:tcPr>
            <w:tcW w:type="dxa" w:w="243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BPMN rendering/modeling/XML</w:t>
            </w:r>
          </w:p>
        </w:tc>
        <w:tc>
          <w:tcPr>
            <w:tcW w:type="dxa" w:w="1531"/>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bpmn.io License</w:t>
            </w:r>
          </w:p>
        </w:tc>
        <w:tc>
          <w:tcPr>
            <w:tcW w:type="dxa" w:w="345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Commercial use permitted under license; bundled bpmn.io watermark must remain visible/unmodified.</w:t>
            </w:r>
          </w:p>
        </w:tc>
      </w:tr>
      <w:tr>
        <w:trPr>
          <w:cantSplit/>
        </w:trPr>
        <w:tc>
          <w:tcPr>
            <w:tcW w:type="dxa" w:w="192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bpmnlint</w:t>
            </w:r>
          </w:p>
        </w:tc>
        <w:tc>
          <w:tcPr>
            <w:tcW w:type="dxa" w:w="243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BPMN lint rules</w:t>
            </w:r>
          </w:p>
        </w:tc>
        <w:tc>
          <w:tcPr>
            <w:tcW w:type="dxa" w:w="153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Open-source</w:t>
            </w:r>
          </w:p>
        </w:tc>
        <w:tc>
          <w:tcPr>
            <w:tcW w:type="dxa" w:w="345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Use for notation-level validation; keep simulation validation separate.</w:t>
            </w:r>
          </w:p>
        </w:tc>
      </w:tr>
      <w:tr>
        <w:trPr>
          <w:cantSplit/>
        </w:trPr>
        <w:tc>
          <w:tcPr>
            <w:tcW w:type="dxa" w:w="192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Dexie.js + IndexedDB</w:t>
            </w:r>
          </w:p>
        </w:tc>
        <w:tc>
          <w:tcPr>
            <w:tcW w:type="dxa" w:w="243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Local persistence</w:t>
            </w:r>
          </w:p>
        </w:tc>
        <w:tc>
          <w:tcPr>
            <w:tcW w:type="dxa" w:w="1531"/>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Apache-2.0 / browser platform</w:t>
            </w:r>
          </w:p>
        </w:tc>
        <w:tc>
          <w:tcPr>
            <w:tcW w:type="dxa" w:w="345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Use Dexie.js only; Dexie Cloud is not required.</w:t>
            </w:r>
          </w:p>
        </w:tc>
      </w:tr>
      <w:tr>
        <w:trPr>
          <w:cantSplit/>
        </w:trPr>
        <w:tc>
          <w:tcPr>
            <w:tcW w:type="dxa" w:w="192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Zustand</w:t>
            </w:r>
          </w:p>
        </w:tc>
        <w:tc>
          <w:tcPr>
            <w:tcW w:type="dxa" w:w="243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Ephemeral cross-feature state</w:t>
            </w:r>
          </w:p>
        </w:tc>
        <w:tc>
          <w:tcPr>
            <w:tcW w:type="dxa" w:w="153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MIT</w:t>
            </w:r>
          </w:p>
        </w:tc>
        <w:tc>
          <w:tcPr>
            <w:tcW w:type="dxa" w:w="345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Do not mirror the whole database into a global store.</w:t>
            </w:r>
          </w:p>
        </w:tc>
      </w:tr>
      <w:tr>
        <w:trPr>
          <w:cantSplit/>
        </w:trPr>
        <w:tc>
          <w:tcPr>
            <w:tcW w:type="dxa" w:w="192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Zod</w:t>
            </w:r>
          </w:p>
        </w:tc>
        <w:tc>
          <w:tcPr>
            <w:tcW w:type="dxa" w:w="243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Runtime boundary/schema validation</w:t>
            </w:r>
          </w:p>
        </w:tc>
        <w:tc>
          <w:tcPr>
            <w:tcW w:type="dxa" w:w="1531"/>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MIT</w:t>
            </w:r>
          </w:p>
        </w:tc>
        <w:tc>
          <w:tcPr>
            <w:tcW w:type="dxa" w:w="345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Validate imports, persisted migrations and configuration boundaries.</w:t>
            </w:r>
          </w:p>
        </w:tc>
      </w:tr>
      <w:tr>
        <w:trPr>
          <w:cantSplit/>
        </w:trPr>
        <w:tc>
          <w:tcPr>
            <w:tcW w:type="dxa" w:w="192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Apache ECharts</w:t>
            </w:r>
          </w:p>
        </w:tc>
        <w:tc>
          <w:tcPr>
            <w:tcW w:type="dxa" w:w="243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Analytical visualization</w:t>
            </w:r>
          </w:p>
        </w:tc>
        <w:tc>
          <w:tcPr>
            <w:tcW w:type="dxa" w:w="153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Apache-2.0</w:t>
            </w:r>
          </w:p>
        </w:tc>
        <w:tc>
          <w:tcPr>
            <w:tcW w:type="dxa" w:w="345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Primary charting library for distributions/comparisons.</w:t>
            </w:r>
          </w:p>
        </w:tc>
      </w:tr>
      <w:tr>
        <w:trPr>
          <w:cantSplit/>
        </w:trPr>
        <w:tc>
          <w:tcPr>
            <w:tcW w:type="dxa" w:w="192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Web Worker API</w:t>
            </w:r>
          </w:p>
        </w:tc>
        <w:tc>
          <w:tcPr>
            <w:tcW w:type="dxa" w:w="243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Background simulation</w:t>
            </w:r>
          </w:p>
        </w:tc>
        <w:tc>
          <w:tcPr>
            <w:tcW w:type="dxa" w:w="1531"/>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Web platform</w:t>
            </w:r>
          </w:p>
        </w:tc>
        <w:tc>
          <w:tcPr>
            <w:tcW w:type="dxa" w:w="345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Prefer native protocol initially; add abstraction only when justified.</w:t>
            </w:r>
          </w:p>
        </w:tc>
      </w:tr>
      <w:tr>
        <w:trPr>
          <w:cantSplit/>
        </w:trPr>
        <w:tc>
          <w:tcPr>
            <w:tcW w:type="dxa" w:w="192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Vitest + Testing Library</w:t>
            </w:r>
          </w:p>
        </w:tc>
        <w:tc>
          <w:tcPr>
            <w:tcW w:type="dxa" w:w="243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Unit/component testing</w:t>
            </w:r>
          </w:p>
        </w:tc>
        <w:tc>
          <w:tcPr>
            <w:tcW w:type="dxa" w:w="153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Open-source</w:t>
            </w:r>
          </w:p>
        </w:tc>
        <w:tc>
          <w:tcPr>
            <w:tcW w:type="dxa" w:w="345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Domain-first behavior coverage.</w:t>
            </w:r>
          </w:p>
        </w:tc>
      </w:tr>
      <w:tr>
        <w:trPr>
          <w:cantSplit/>
        </w:trPr>
        <w:tc>
          <w:tcPr>
            <w:tcW w:type="dxa" w:w="192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Playwright + axe-core</w:t>
            </w:r>
          </w:p>
        </w:tc>
        <w:tc>
          <w:tcPr>
            <w:tcW w:type="dxa" w:w="243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E2E/accessibility checks</w:t>
            </w:r>
          </w:p>
        </w:tc>
        <w:tc>
          <w:tcPr>
            <w:tcW w:type="dxa" w:w="1531"/>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Open-source</w:t>
            </w:r>
          </w:p>
        </w:tc>
        <w:tc>
          <w:tcPr>
            <w:tcW w:type="dxa" w:w="345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Critical user workflows and regression checks.</w:t>
            </w:r>
          </w:p>
        </w:tc>
      </w:tr>
      <w:tr>
        <w:trPr>
          <w:cantSplit/>
        </w:trPr>
        <w:tc>
          <w:tcPr>
            <w:tcW w:type="dxa" w:w="192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fast-check</w:t>
            </w:r>
          </w:p>
        </w:tc>
        <w:tc>
          <w:tcPr>
            <w:tcW w:type="dxa" w:w="243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Property-based testing</w:t>
            </w:r>
          </w:p>
        </w:tc>
        <w:tc>
          <w:tcPr>
            <w:tcW w:type="dxa" w:w="153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Open-source</w:t>
            </w:r>
          </w:p>
        </w:tc>
        <w:tc>
          <w:tcPr>
            <w:tcW w:type="dxa" w:w="345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Simulation invariants and generated graph/config cases.</w:t>
            </w:r>
          </w:p>
        </w:tc>
      </w:tr>
    </w:tbl>
    <w:p>
      <w:pPr>
        <w:spacing w:after="0"/>
      </w:pPr>
    </w:p>
    <w:p>
      <w:pPr>
        <w:pStyle w:val="Heading2"/>
        <w:keepNext/>
        <w:spacing w:before="140" w:after="60" w:line="269" w:lineRule="auto"/>
      </w:pPr>
      <w:r>
        <w:rPr>
          <w:rFonts w:ascii="Inter Display" w:hAnsi="Inter Display" w:eastAsia="Inter Display"/>
          <w:b/>
          <w:color w:val="7B0F22"/>
          <w:sz w:val="23"/>
        </w:rPr>
        <w:t>Required external APIs / SaaS services</w:t>
      </w:r>
    </w:p>
    <w:tbl>
      <w:tblPr>
        <w:tblW w:type="auto" w:w="0"/>
        <w:jc w:val="center"/>
        <w:tblLayout w:type="autofit"/>
        <w:tblLook w:firstColumn="1" w:firstRow="1" w:lastColumn="0" w:lastRow="0" w:noHBand="0" w:noVBand="1" w:val="04A0"/>
      </w:tblPr>
      <w:tblGrid>
        <w:gridCol w:w="10092"/>
      </w:tblGrid>
      <w:tr>
        <w:trPr>
          <w:cantSplit/>
        </w:trPr>
        <w:tc>
          <w:tcPr>
            <w:tcW w:type="dxa" w:w="10092"/>
            <w:shd w:fill="FBF7EE"/>
            <w:tcMar>
              <w:top w:w="120" w:type="dxa"/>
              <w:start w:w="180" w:type="dxa"/>
              <w:bottom w:w="120" w:type="dxa"/>
              <w:end w:w="180" w:type="dxa"/>
            </w:tcMar>
            <w:tcBorders>
              <w:top w:val="nil"/>
              <w:left w:val="single" w:sz="20" w:color="B87333"/>
              <w:bottom w:val="nil"/>
              <w:right w:val="nil"/>
            </w:tcBorders>
          </w:tcPr>
          <w:p>
            <w:pPr>
              <w:spacing w:before="0" w:after="60" w:line="269" w:lineRule="auto"/>
            </w:pPr>
            <w:r>
              <w:rPr>
                <w:rFonts w:ascii="Inter" w:hAnsi="Inter" w:eastAsia="Inter"/>
                <w:b/>
                <w:color w:val="B87333"/>
                <w:sz w:val="16"/>
              </w:rPr>
              <w:t>RUNTIME DEPENDENCY POSITION</w:t>
            </w:r>
          </w:p>
          <w:p>
            <w:pPr>
              <w:spacing w:before="0" w:after="0" w:line="269" w:lineRule="auto"/>
            </w:pPr>
            <w:r>
              <w:rPr>
                <w:rFonts w:ascii="Inter" w:hAnsi="Inter" w:eastAsia="Inter"/>
                <w:color w:val="20242A"/>
                <w:sz w:val="18"/>
              </w:rPr>
              <w:t>None. The AridentFlow MVP does not require an external API, managed database, authentication provider, analytics SaaS or AI service to perform its core workflow.</w:t>
            </w:r>
          </w:p>
        </w:tc>
      </w:tr>
    </w:tbl>
    <w:p>
      <w:pPr>
        <w:spacing w:after="0"/>
      </w:pPr>
    </w:p>
    <w:p>
      <w:pPr>
        <w:pStyle w:val="Heading2"/>
        <w:keepNext/>
        <w:spacing w:before="140" w:after="60" w:line="269" w:lineRule="auto"/>
      </w:pPr>
      <w:r>
        <w:rPr>
          <w:rFonts w:ascii="Inter Display" w:hAnsi="Inter Display" w:eastAsia="Inter Display"/>
          <w:b/>
          <w:color w:val="7B0F22"/>
          <w:sz w:val="23"/>
        </w:rPr>
        <w:t>Licensing and production-use notes</w:t>
      </w:r>
    </w:p>
    <w:p>
      <w:pPr>
        <w:pStyle w:val="ListBullet"/>
        <w:spacing w:before="0" w:after="80" w:line="259" w:lineRule="auto"/>
      </w:pPr>
      <w:r>
        <w:rPr>
          <w:rFonts w:ascii="Inter" w:hAnsi="Inter" w:eastAsia="Inter"/>
          <w:color w:val="20242A"/>
          <w:sz w:val="18"/>
        </w:rPr>
        <w:t>The dependency lockfile and third-party notice inventory become release artifacts; licenses must be reviewed again before public distribution.</w:t>
      </w:r>
    </w:p>
    <w:p>
      <w:pPr>
        <w:pStyle w:val="ListBullet"/>
        <w:spacing w:before="0" w:after="80" w:line="259" w:lineRule="auto"/>
      </w:pPr>
      <w:r>
        <w:rPr>
          <w:rFonts w:ascii="Inter" w:hAnsi="Inter" w:eastAsia="Inter"/>
          <w:color w:val="20242A"/>
          <w:sz w:val="18"/>
        </w:rPr>
        <w:t>bpmn-js uses the bpmn.io License rather than MIT/Apache. The product design must preserve the required bpmn.io watermark in rendered diagrams.</w:t>
      </w:r>
    </w:p>
    <w:p>
      <w:pPr>
        <w:pStyle w:val="ListBullet"/>
        <w:spacing w:before="0" w:after="80" w:line="259" w:lineRule="auto"/>
      </w:pPr>
      <w:r>
        <w:rPr>
          <w:rFonts w:ascii="Inter" w:hAnsi="Inter" w:eastAsia="Inter"/>
          <w:color w:val="20242A"/>
          <w:sz w:val="18"/>
        </w:rPr>
        <w:t>Dexie Cloud is deliberately excluded because free seats/evaluation behavior is not equivalent to an unlimited free production synchronization service.</w:t>
      </w:r>
    </w:p>
    <w:p>
      <w:pPr>
        <w:pStyle w:val="ListBullet"/>
        <w:spacing w:before="0" w:after="80" w:line="259" w:lineRule="auto"/>
      </w:pPr>
      <w:r>
        <w:rPr>
          <w:rFonts w:ascii="Inter" w:hAnsi="Inter" w:eastAsia="Inter"/>
          <w:color w:val="20242A"/>
          <w:sz w:val="18"/>
        </w:rPr>
        <w:t>Hosting is infrastructure, not a runtime application API. The static output can move between compatible hosts without redesigning the core product.</w:t>
      </w:r>
    </w:p>
    <w:p>
      <w:pPr>
        <w:pStyle w:val="Heading2"/>
        <w:keepNext/>
        <w:spacing w:before="140" w:after="60" w:line="269" w:lineRule="auto"/>
      </w:pPr>
      <w:r>
        <w:rPr>
          <w:rFonts w:ascii="Inter Display" w:hAnsi="Inter Display" w:eastAsia="Inter Display"/>
          <w:b/>
          <w:color w:val="7B0F22"/>
          <w:sz w:val="23"/>
        </w:rPr>
        <w:t>Next.js static-export constraints</w:t>
      </w:r>
    </w:p>
    <w:p>
      <w:pPr>
        <w:pStyle w:val="ListBullet"/>
        <w:spacing w:before="0" w:after="48" w:line="259" w:lineRule="auto"/>
      </w:pPr>
      <w:r>
        <w:rPr>
          <w:rFonts w:ascii="Inter" w:hAnsi="Inter" w:eastAsia="Inter"/>
          <w:color w:val="20242A"/>
          <w:sz w:val="18"/>
        </w:rPr>
        <w:t>Use a static application route such as /studio and select local project/scenario identifiers client-side (for example via query parameters).</w:t>
      </w:r>
    </w:p>
    <w:p>
      <w:pPr>
        <w:pStyle w:val="ListBullet"/>
        <w:spacing w:before="0" w:after="48" w:line="259" w:lineRule="auto"/>
      </w:pPr>
      <w:r>
        <w:rPr>
          <w:rFonts w:ascii="Inter" w:hAnsi="Inter" w:eastAsia="Inter"/>
          <w:color w:val="20242A"/>
          <w:sz w:val="18"/>
        </w:rPr>
        <w:t>Do not base the MVP on Server Actions, runtime API routes, server middleware, cookies or server-rendered private project data.</w:t>
      </w:r>
    </w:p>
    <w:p>
      <w:pPr>
        <w:pStyle w:val="ListBullet"/>
        <w:spacing w:before="0" w:after="48" w:line="259" w:lineRule="auto"/>
      </w:pPr>
      <w:r>
        <w:rPr>
          <w:rFonts w:ascii="Inter" w:hAnsi="Inter" w:eastAsia="Inter"/>
          <w:color w:val="20242A"/>
          <w:sz w:val="18"/>
        </w:rPr>
        <w:t>Client-only browser APIs must be isolated to client components and loaded safely after hydration.</w:t>
      </w:r>
    </w:p>
    <w:p>
      <w:pPr>
        <w:pStyle w:val="ListBullet"/>
        <w:spacing w:before="0" w:after="48" w:line="259" w:lineRule="auto"/>
      </w:pPr>
      <w:r>
        <w:rPr>
          <w:rFonts w:ascii="Inter" w:hAnsi="Inter" w:eastAsia="Inter"/>
          <w:color w:val="20242A"/>
          <w:sz w:val="18"/>
        </w:rPr>
        <w:t>Heavy studio dependencies should be dynamically loaded so marketing/workspace entry screens remain lean.</w:t>
      </w:r>
    </w:p>
    <w:p>
      <w:pPr>
        <w:pStyle w:val="Heading1"/>
        <w:keepNext/>
        <w:spacing w:before="200" w:after="80" w:line="269" w:lineRule="auto"/>
      </w:pPr>
      <w:r>
        <w:rPr>
          <w:rFonts w:ascii="Inter Display" w:hAnsi="Inter Display" w:eastAsia="Inter Display"/>
          <w:b/>
          <w:color w:val="B87333"/>
          <w:sz w:val="22"/>
        </w:rPr>
        <w:t>14</w:t>
      </w:r>
      <w:r>
        <w:rPr>
          <w:rFonts w:ascii="Inter Display" w:hAnsi="Inter Display" w:eastAsia="Inter Display"/>
          <w:b/>
          <w:color w:val="5A0F1A"/>
          <w:sz w:val="36"/>
        </w:rPr>
        <w:t xml:space="preserve">  High-Level System Architecture</w:t>
      </w:r>
    </w:p>
    <w:p>
      <w:pPr>
        <w:spacing w:before="0" w:after="140" w:line="269" w:lineRule="auto"/>
      </w:pPr>
      <w:r>
        <w:rPr>
          <w:rFonts w:ascii="Inter" w:hAnsi="Inter" w:eastAsia="Inter"/>
          <w:i/>
          <w:color w:val="667085"/>
          <w:sz w:val="18"/>
        </w:rPr>
        <w:t>Local-first layered architecture with explicit ports around process modeling, persistence and execution.</w:t>
      </w:r>
    </w:p>
    <w:p>
      <w:pPr>
        <w:spacing w:before="0" w:after="140" w:line="269" w:lineRule="auto"/>
        <w:pBdr>
          <w:bottom w:val="single" w:sz="7" w:space="1" w:color="C9B2B5"/>
        </w:pBdr>
      </w:pPr>
    </w:p>
    <w:p>
      <w:r>
        <w:drawing>
          <wp:inline xmlns:a="http://schemas.openxmlformats.org/drawingml/2006/main" xmlns:pic="http://schemas.openxmlformats.org/drawingml/2006/picture">
            <wp:extent cx="6120000" cy="3672000"/>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120000" cy="3672000"/>
                    </a:xfrm>
                    <a:prstGeom prst="rect"/>
                  </pic:spPr>
                </pic:pic>
              </a:graphicData>
            </a:graphic>
          </wp:inline>
        </w:drawing>
      </w:r>
    </w:p>
    <w:p>
      <w:pPr>
        <w:spacing w:before="40" w:after="120" w:line="269" w:lineRule="auto"/>
        <w:jc w:val="center"/>
      </w:pPr>
      <w:r>
        <w:rPr>
          <w:rFonts w:ascii="Inter" w:hAnsi="Inter" w:eastAsia="Inter"/>
          <w:i/>
          <w:color w:val="667085"/>
          <w:sz w:val="15"/>
        </w:rPr>
        <w:t>Figure 2. High-level architecture and adapter boundaries.</w:t>
      </w:r>
    </w:p>
    <w:p>
      <w:pPr>
        <w:pStyle w:val="Heading2"/>
        <w:keepNext/>
        <w:spacing w:before="140" w:after="60" w:line="269" w:lineRule="auto"/>
      </w:pPr>
      <w:r>
        <w:rPr>
          <w:rFonts w:ascii="Inter Display" w:hAnsi="Inter Display" w:eastAsia="Inter Display"/>
          <w:b/>
          <w:color w:val="7B0F22"/>
          <w:sz w:val="23"/>
        </w:rPr>
        <w:t>Layer responsibilities</w:t>
      </w: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1757"/>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Layer</w:t>
            </w:r>
          </w:p>
        </w:tc>
        <w:tc>
          <w:tcPr>
            <w:tcW w:type="dxa" w:w="3798"/>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Owns</w:t>
            </w:r>
          </w:p>
        </w:tc>
        <w:tc>
          <w:tcPr>
            <w:tcW w:type="dxa" w:w="3798"/>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Must not own</w:t>
            </w:r>
          </w:p>
        </w:tc>
      </w:tr>
      <w:tr>
        <w:trPr>
          <w:cantSplit/>
        </w:trPr>
        <w:tc>
          <w:tcPr>
            <w:tcW w:type="dxa" w:w="1757"/>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Experience</w:t>
            </w:r>
          </w:p>
        </w:tc>
        <w:tc>
          <w:tcPr>
            <w:tcW w:type="dxa" w:w="379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Pages, components, canvas shell, charts, forms, accessibility, navigation</w:t>
            </w:r>
          </w:p>
        </w:tc>
        <w:tc>
          <w:tcPr>
            <w:tcW w:type="dxa" w:w="379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Simulation rules or persistence implementation details</w:t>
            </w:r>
          </w:p>
        </w:tc>
      </w:tr>
      <w:tr>
        <w:trPr>
          <w:cantSplit/>
        </w:trPr>
        <w:tc>
          <w:tcPr>
            <w:tcW w:type="dxa" w:w="1757"/>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Application</w:t>
            </w:r>
          </w:p>
        </w:tc>
        <w:tc>
          <w:tcPr>
            <w:tcW w:type="dxa" w:w="379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Use cases, orchestration, validation sequence, scenario/run lifecycle</w:t>
            </w:r>
          </w:p>
        </w:tc>
        <w:tc>
          <w:tcPr>
            <w:tcW w:type="dxa" w:w="379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Rendering logic or direct IndexedDB calls</w:t>
            </w:r>
          </w:p>
        </w:tc>
      </w:tr>
      <w:tr>
        <w:trPr>
          <w:cantSplit/>
        </w:trPr>
        <w:tc>
          <w:tcPr>
            <w:tcW w:type="dxa" w:w="1757"/>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Domain</w:t>
            </w:r>
          </w:p>
        </w:tc>
        <w:tc>
          <w:tcPr>
            <w:tcW w:type="dxa" w:w="379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Process graph, simulation semantics, distributions, metrics, comparisons</w:t>
            </w:r>
          </w:p>
        </w:tc>
        <w:tc>
          <w:tcPr>
            <w:tcW w:type="dxa" w:w="379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React, Next.js, bpmn-js, Dexie, ECharts</w:t>
            </w:r>
          </w:p>
        </w:tc>
      </w:tr>
      <w:tr>
        <w:trPr>
          <w:cantSplit/>
        </w:trPr>
        <w:tc>
          <w:tcPr>
            <w:tcW w:type="dxa" w:w="1757"/>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Execution</w:t>
            </w:r>
          </w:p>
        </w:tc>
        <w:tc>
          <w:tcPr>
            <w:tcW w:type="dxa" w:w="379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Worker protocol, cancellation, progress, worker-safe execution wrapper</w:t>
            </w:r>
          </w:p>
        </w:tc>
        <w:tc>
          <w:tcPr>
            <w:tcW w:type="dxa" w:w="379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Business decisions that belong in domain functions</w:t>
            </w:r>
          </w:p>
        </w:tc>
      </w:tr>
      <w:tr>
        <w:trPr>
          <w:cantSplit/>
        </w:trPr>
        <w:tc>
          <w:tcPr>
            <w:tcW w:type="dxa" w:w="1757"/>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Infrastructure</w:t>
            </w:r>
          </w:p>
        </w:tc>
        <w:tc>
          <w:tcPr>
            <w:tcW w:type="dxa" w:w="379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BPMN adapter, IndexedDB repository, file import/export, chart mapping</w:t>
            </w:r>
          </w:p>
        </w:tc>
        <w:tc>
          <w:tcPr>
            <w:tcW w:type="dxa" w:w="379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Cross-feature UI state or domain rules</w:t>
            </w:r>
          </w:p>
        </w:tc>
      </w:tr>
    </w:tbl>
    <w:p>
      <w:pPr>
        <w:spacing w:after="0"/>
      </w:pPr>
    </w:p>
    <w:p>
      <w:pPr>
        <w:pStyle w:val="Heading2"/>
        <w:keepNext/>
        <w:spacing w:before="140" w:after="60" w:line="269" w:lineRule="auto"/>
      </w:pPr>
      <w:r>
        <w:rPr>
          <w:rFonts w:ascii="Inter Display" w:hAnsi="Inter Display" w:eastAsia="Inter Display"/>
          <w:b/>
          <w:color w:val="7B0F22"/>
          <w:sz w:val="23"/>
        </w:rPr>
        <w:t>Architectural decisions</w:t>
      </w: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2268"/>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Decision</w:t>
            </w:r>
          </w:p>
        </w:tc>
        <w:tc>
          <w:tcPr>
            <w:tcW w:type="dxa" w:w="3969"/>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Rationale</w:t>
            </w:r>
          </w:p>
        </w:tc>
        <w:tc>
          <w:tcPr>
            <w:tcW w:type="dxa" w:w="3118"/>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Trade-off</w:t>
            </w:r>
          </w:p>
        </w:tc>
      </w:tr>
      <w:tr>
        <w:trPr>
          <w:cantSplit/>
        </w:trPr>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Local-first core</w:t>
            </w:r>
          </w:p>
        </w:tc>
        <w:tc>
          <w:tcPr>
            <w:tcW w:type="dxa" w:w="3969"/>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Protect privacy and avoid backend cost/dependency for the portfolio product.</w:t>
            </w:r>
          </w:p>
        </w:tc>
        <w:tc>
          <w:tcPr>
            <w:tcW w:type="dxa" w:w="311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No native team collaboration or cloud recovery in MVP.</w:t>
            </w:r>
          </w:p>
        </w:tc>
      </w:tr>
      <w:tr>
        <w:trPr>
          <w:cantSplit/>
        </w:trPr>
        <w:tc>
          <w:tcPr>
            <w:tcW w:type="dxa" w:w="2268"/>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Domain-first simulator</w:t>
            </w:r>
          </w:p>
        </w:tc>
        <w:tc>
          <w:tcPr>
            <w:tcW w:type="dxa" w:w="3969"/>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Simulation becomes testable, portable and easier to evolve.</w:t>
            </w:r>
          </w:p>
        </w:tc>
        <w:tc>
          <w:tcPr>
            <w:tcW w:type="dxa" w:w="311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Requires mapping BPMN notation into a separate internal graph.</w:t>
            </w:r>
          </w:p>
        </w:tc>
      </w:tr>
      <w:tr>
        <w:trPr>
          <w:cantSplit/>
        </w:trPr>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Web Worker execution</w:t>
            </w:r>
          </w:p>
        </w:tc>
        <w:tc>
          <w:tcPr>
            <w:tcW w:type="dxa" w:w="3969"/>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Protects interaction responsiveness during CPU-heavy workloads.</w:t>
            </w:r>
          </w:p>
        </w:tc>
        <w:tc>
          <w:tcPr>
            <w:tcW w:type="dxa" w:w="311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Introduces serialization/protocol boundaries.</w:t>
            </w:r>
          </w:p>
        </w:tc>
      </w:tr>
      <w:tr>
        <w:trPr>
          <w:cantSplit/>
        </w:trPr>
        <w:tc>
          <w:tcPr>
            <w:tcW w:type="dxa" w:w="2268"/>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Versioned project package</w:t>
            </w:r>
          </w:p>
        </w:tc>
        <w:tc>
          <w:tcPr>
            <w:tcW w:type="dxa" w:w="3969"/>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Portable sharing and recovery without cloud accounts.</w:t>
            </w:r>
          </w:p>
        </w:tc>
        <w:tc>
          <w:tcPr>
            <w:tcW w:type="dxa" w:w="311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User must manage file sharing/backups.</w:t>
            </w:r>
          </w:p>
        </w:tc>
      </w:tr>
      <w:tr>
        <w:trPr>
          <w:cantSplit/>
        </w:trPr>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Static Next.js deployment</w:t>
            </w:r>
          </w:p>
        </w:tc>
        <w:tc>
          <w:tcPr>
            <w:tcW w:type="dxa" w:w="3969"/>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Simple hosting and minimal operational footprint.</w:t>
            </w:r>
          </w:p>
        </w:tc>
        <w:tc>
          <w:tcPr>
            <w:tcW w:type="dxa" w:w="311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No server-only Next.js features in core architecture.</w:t>
            </w:r>
          </w:p>
        </w:tc>
      </w:tr>
    </w:tbl>
    <w:p>
      <w:pPr>
        <w:spacing w:after="0"/>
      </w:pPr>
    </w:p>
    <w:p>
      <w:pPr>
        <w:pStyle w:val="Heading1"/>
        <w:keepNext/>
        <w:spacing w:before="200" w:after="80" w:line="269" w:lineRule="auto"/>
      </w:pPr>
      <w:r>
        <w:rPr>
          <w:rFonts w:ascii="Inter Display" w:hAnsi="Inter Display" w:eastAsia="Inter Display"/>
          <w:b/>
          <w:color w:val="B87333"/>
          <w:sz w:val="22"/>
        </w:rPr>
        <w:t>15</w:t>
      </w:r>
      <w:r>
        <w:rPr>
          <w:rFonts w:ascii="Inter Display" w:hAnsi="Inter Display" w:eastAsia="Inter Display"/>
          <w:b/>
          <w:color w:val="5A0F1A"/>
          <w:sz w:val="36"/>
        </w:rPr>
        <w:t xml:space="preserve">  Frontend Architecture</w:t>
      </w:r>
    </w:p>
    <w:p>
      <w:pPr>
        <w:spacing w:before="0" w:after="140" w:line="269" w:lineRule="auto"/>
      </w:pPr>
      <w:r>
        <w:rPr>
          <w:rFonts w:ascii="Inter" w:hAnsi="Inter" w:eastAsia="Inter"/>
          <w:i/>
          <w:color w:val="667085"/>
          <w:sz w:val="18"/>
        </w:rPr>
        <w:t>Feature-oriented organization with dependency direction enforced around a framework-independent domain.</w:t>
      </w:r>
    </w:p>
    <w:p>
      <w:pPr>
        <w:spacing w:before="0" w:after="140" w:line="269" w:lineRule="auto"/>
        <w:pBdr>
          <w:bottom w:val="single" w:sz="7" w:space="1" w:color="C9B2B5"/>
        </w:pBdr>
      </w:pPr>
    </w:p>
    <w:p>
      <w:pPr>
        <w:pStyle w:val="Heading2"/>
        <w:keepNext/>
        <w:spacing w:before="140" w:after="60" w:line="269" w:lineRule="auto"/>
      </w:pPr>
      <w:r>
        <w:rPr>
          <w:rFonts w:ascii="Inter Display" w:hAnsi="Inter Display" w:eastAsia="Inter Display"/>
          <w:b/>
          <w:color w:val="7B0F22"/>
          <w:sz w:val="23"/>
        </w:rPr>
        <w:t>Frontend composition</w:t>
      </w:r>
    </w:p>
    <w:tbl>
      <w:tblPr>
        <w:tblStyle w:val="TableGrid"/>
        <w:tblW w:type="auto" w:w="0"/>
        <w:jc w:val="center"/>
        <w:tblLook w:firstColumn="1" w:firstRow="1" w:lastColumn="0" w:lastRow="0" w:noHBand="0" w:noVBand="1" w:val="04A0"/>
      </w:tblPr>
      <w:tblGrid>
        <w:gridCol w:w="5046"/>
        <w:gridCol w:w="5046"/>
      </w:tblGrid>
      <w:tr>
        <w:trPr>
          <w:tblHeader w:val="true"/>
        </w:trPr>
        <w:tc>
          <w:tcPr>
            <w:tcW w:type="dxa" w:w="2835"/>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Area</w:t>
            </w:r>
          </w:p>
        </w:tc>
        <w:tc>
          <w:tcPr>
            <w:tcW w:type="dxa" w:w="6520"/>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Responsibilities</w:t>
            </w:r>
          </w:p>
        </w:tc>
      </w:tr>
      <w:tr>
        <w:trPr>
          <w:cantSplit/>
        </w:trPr>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app</w:t>
            </w:r>
          </w:p>
        </w:tc>
        <w:tc>
          <w:tcPr>
            <w:tcW w:type="dxa" w:w="65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Static routes, layouts, metadata, providers and top-level composition.</w:t>
            </w:r>
          </w:p>
        </w:tc>
      </w:tr>
      <w:tr>
        <w:trPr>
          <w:cantSplit/>
        </w:trPr>
        <w:tc>
          <w:tcPr>
            <w:tcW w:type="dxa" w:w="2835"/>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features/workspace</w:t>
            </w:r>
          </w:p>
        </w:tc>
        <w:tc>
          <w:tcPr>
            <w:tcW w:type="dxa" w:w="65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Project lifecycle, template gallery and recents.</w:t>
            </w:r>
          </w:p>
        </w:tc>
      </w:tr>
      <w:tr>
        <w:trPr>
          <w:cantSplit/>
        </w:trPr>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features/process-modeler</w:t>
            </w:r>
          </w:p>
        </w:tc>
        <w:tc>
          <w:tcPr>
            <w:tcW w:type="dxa" w:w="65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Canvas orchestration, selection, inspector integration and modeler commands.</w:t>
            </w:r>
          </w:p>
        </w:tc>
      </w:tr>
      <w:tr>
        <w:trPr>
          <w:cantSplit/>
        </w:trPr>
        <w:tc>
          <w:tcPr>
            <w:tcW w:type="dxa" w:w="2835"/>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features/process-validation</w:t>
            </w:r>
          </w:p>
        </w:tc>
        <w:tc>
          <w:tcPr>
            <w:tcW w:type="dxa" w:w="65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Validation presentation, issue navigation and readiness state.</w:t>
            </w:r>
          </w:p>
        </w:tc>
      </w:tr>
      <w:tr>
        <w:trPr>
          <w:cantSplit/>
        </w:trPr>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features/simulation</w:t>
            </w:r>
          </w:p>
        </w:tc>
        <w:tc>
          <w:tcPr>
            <w:tcW w:type="dxa" w:w="65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Run configuration, worker lifecycle, progress/cancellation and run status.</w:t>
            </w:r>
          </w:p>
        </w:tc>
      </w:tr>
      <w:tr>
        <w:trPr>
          <w:cantSplit/>
        </w:trPr>
        <w:tc>
          <w:tcPr>
            <w:tcW w:type="dxa" w:w="2835"/>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features/analytics</w:t>
            </w:r>
          </w:p>
        </w:tc>
        <w:tc>
          <w:tcPr>
            <w:tcW w:type="dxa" w:w="65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KPI summaries, distributions, bottleneck views and drill-down.</w:t>
            </w:r>
          </w:p>
        </w:tc>
      </w:tr>
      <w:tr>
        <w:trPr>
          <w:cantSplit/>
        </w:trPr>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features/scenarios</w:t>
            </w:r>
          </w:p>
        </w:tc>
        <w:tc>
          <w:tcPr>
            <w:tcW w:type="dxa" w:w="65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Scenario lifecycle and comparison workflow.</w:t>
            </w:r>
          </w:p>
        </w:tc>
      </w:tr>
      <w:tr>
        <w:trPr>
          <w:cantSplit/>
        </w:trPr>
        <w:tc>
          <w:tcPr>
            <w:tcW w:type="dxa" w:w="2835"/>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features/import-export</w:t>
            </w:r>
          </w:p>
        </w:tc>
        <w:tc>
          <w:tcPr>
            <w:tcW w:type="dxa" w:w="65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BPMN/project package/report boundaries.</w:t>
            </w:r>
          </w:p>
        </w:tc>
      </w:tr>
      <w:tr>
        <w:trPr>
          <w:cantSplit/>
        </w:trPr>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domain</w:t>
            </w:r>
          </w:p>
        </w:tc>
        <w:tc>
          <w:tcPr>
            <w:tcW w:type="dxa" w:w="65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Framework-independent types, invariants, simulation and analytics.</w:t>
            </w:r>
          </w:p>
        </w:tc>
      </w:tr>
      <w:tr>
        <w:trPr>
          <w:cantSplit/>
        </w:trPr>
        <w:tc>
          <w:tcPr>
            <w:tcW w:type="dxa" w:w="2835"/>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application</w:t>
            </w:r>
          </w:p>
        </w:tc>
        <w:tc>
          <w:tcPr>
            <w:tcW w:type="dxa" w:w="65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Use cases and orchestration interfaces.</w:t>
            </w:r>
          </w:p>
        </w:tc>
      </w:tr>
      <w:tr>
        <w:trPr>
          <w:cantSplit/>
        </w:trPr>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infrastructure</w:t>
            </w:r>
          </w:p>
        </w:tc>
        <w:tc>
          <w:tcPr>
            <w:tcW w:type="dxa" w:w="65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Concrete adapters for BPMN, IndexedDB, files and workers.</w:t>
            </w:r>
          </w:p>
        </w:tc>
      </w:tr>
      <w:tr>
        <w:trPr>
          <w:cantSplit/>
        </w:trPr>
        <w:tc>
          <w:tcPr>
            <w:tcW w:type="dxa" w:w="2835"/>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shared</w:t>
            </w:r>
          </w:p>
        </w:tc>
        <w:tc>
          <w:tcPr>
            <w:tcW w:type="dxa" w:w="65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Design-system primitives, generic formatting, errors and platform utilities only.</w:t>
            </w:r>
          </w:p>
        </w:tc>
      </w:tr>
    </w:tbl>
    <w:p>
      <w:pPr>
        <w:spacing w:after="0"/>
      </w:pPr>
    </w:p>
    <w:p>
      <w:pPr>
        <w:pStyle w:val="Heading2"/>
        <w:keepNext/>
        <w:spacing w:before="140" w:after="60" w:line="269" w:lineRule="auto"/>
      </w:pPr>
      <w:r>
        <w:rPr>
          <w:rFonts w:ascii="Inter Display" w:hAnsi="Inter Display" w:eastAsia="Inter Display"/>
          <w:b/>
          <w:color w:val="7B0F22"/>
          <w:sz w:val="23"/>
        </w:rPr>
        <w:t>State ownership rules</w:t>
      </w:r>
    </w:p>
    <w:p>
      <w:pPr>
        <w:pStyle w:val="ListBullet"/>
        <w:spacing w:before="0" w:after="48" w:line="259" w:lineRule="auto"/>
      </w:pPr>
      <w:r>
        <w:rPr>
          <w:rFonts w:ascii="Inter" w:hAnsi="Inter" w:eastAsia="Inter"/>
          <w:color w:val="20242A"/>
          <w:sz w:val="18"/>
        </w:rPr>
        <w:t>IndexedDB owns durable project/scenario state.</w:t>
      </w:r>
    </w:p>
    <w:p>
      <w:pPr>
        <w:pStyle w:val="ListBullet"/>
        <w:spacing w:before="0" w:after="48" w:line="259" w:lineRule="auto"/>
      </w:pPr>
      <w:r>
        <w:rPr>
          <w:rFonts w:ascii="Inter" w:hAnsi="Inter" w:eastAsia="Inter"/>
          <w:color w:val="20242A"/>
          <w:sz w:val="18"/>
        </w:rPr>
        <w:t>Zustand owns cross-feature ephemeral UI state only.</w:t>
      </w:r>
    </w:p>
    <w:p>
      <w:pPr>
        <w:pStyle w:val="ListBullet"/>
        <w:spacing w:before="0" w:after="48" w:line="259" w:lineRule="auto"/>
      </w:pPr>
      <w:r>
        <w:rPr>
          <w:rFonts w:ascii="Inter" w:hAnsi="Inter" w:eastAsia="Inter"/>
          <w:color w:val="20242A"/>
          <w:sz w:val="18"/>
        </w:rPr>
        <w:t>React component state owns short-lived local interaction state.</w:t>
      </w:r>
    </w:p>
    <w:p>
      <w:pPr>
        <w:pStyle w:val="ListBullet"/>
        <w:spacing w:before="0" w:after="48" w:line="259" w:lineRule="auto"/>
      </w:pPr>
      <w:r>
        <w:rPr>
          <w:rFonts w:ascii="Inter" w:hAnsi="Inter" w:eastAsia="Inter"/>
          <w:color w:val="20242A"/>
          <w:sz w:val="18"/>
        </w:rPr>
        <w:t>URL state owns bookmarkable navigation context that is safe to expose.</w:t>
      </w:r>
    </w:p>
    <w:p>
      <w:pPr>
        <w:pStyle w:val="ListBullet"/>
        <w:spacing w:before="0" w:after="48" w:line="259" w:lineRule="auto"/>
      </w:pPr>
      <w:r>
        <w:rPr>
          <w:rFonts w:ascii="Inter" w:hAnsi="Inter" w:eastAsia="Inter"/>
          <w:color w:val="20242A"/>
          <w:sz w:val="18"/>
        </w:rPr>
        <w:t>Derived metrics should be recomputed or cached with explicit fingerprints, not treated as authoritative source data.</w:t>
      </w:r>
    </w:p>
    <w:p>
      <w:pPr>
        <w:pStyle w:val="ListBullet"/>
        <w:spacing w:before="0" w:after="48" w:line="259" w:lineRule="auto"/>
      </w:pPr>
      <w:r>
        <w:rPr>
          <w:rFonts w:ascii="Inter" w:hAnsi="Inter" w:eastAsia="Inter"/>
          <w:color w:val="20242A"/>
          <w:sz w:val="18"/>
        </w:rPr>
        <w:t>No business rule is valid solely because a UI control prevented an invalid value; domain validation remains authoritative.</w:t>
      </w:r>
    </w:p>
    <w:p>
      <w:pPr>
        <w:pStyle w:val="Heading2"/>
        <w:keepNext/>
        <w:spacing w:before="140" w:after="60" w:line="269" w:lineRule="auto"/>
      </w:pPr>
      <w:r>
        <w:rPr>
          <w:rFonts w:ascii="Inter Display" w:hAnsi="Inter Display" w:eastAsia="Inter Display"/>
          <w:b/>
          <w:color w:val="7B0F22"/>
          <w:sz w:val="23"/>
        </w:rPr>
        <w:t>Error boundaries</w:t>
      </w:r>
    </w:p>
    <w:p>
      <w:pPr>
        <w:pStyle w:val="BodyText"/>
        <w:spacing w:before="0" w:after="100" w:line="269" w:lineRule="auto"/>
      </w:pPr>
      <w:r>
        <w:rPr>
          <w:rFonts w:ascii="Inter" w:hAnsi="Inter" w:eastAsia="Inter"/>
          <w:i w:val="0"/>
          <w:color w:val="20242A"/>
        </w:rPr>
        <w:t>Use feature-level error containment so a chart/report failure does not corrupt the process model. Storage, import and worker failures receive dedicated recovery paths because they can affect user confidence and data continuity.</w:t>
      </w:r>
    </w:p>
    <w:p>
      <w:pPr>
        <w:pStyle w:val="Heading1"/>
        <w:keepNext/>
        <w:spacing w:before="200" w:after="80" w:line="269" w:lineRule="auto"/>
      </w:pPr>
      <w:r>
        <w:rPr>
          <w:rFonts w:ascii="Inter Display" w:hAnsi="Inter Display" w:eastAsia="Inter Display"/>
          <w:b/>
          <w:color w:val="B87333"/>
          <w:sz w:val="22"/>
        </w:rPr>
        <w:t>16</w:t>
      </w:r>
      <w:r>
        <w:rPr>
          <w:rFonts w:ascii="Inter Display" w:hAnsi="Inter Display" w:eastAsia="Inter Display"/>
          <w:b/>
          <w:color w:val="5A0F1A"/>
          <w:sz w:val="36"/>
        </w:rPr>
        <w:t xml:space="preserve">  Data Management Strategy</w:t>
      </w:r>
    </w:p>
    <w:p>
      <w:pPr>
        <w:spacing w:before="0" w:after="140" w:line="269" w:lineRule="auto"/>
      </w:pPr>
      <w:r>
        <w:rPr>
          <w:rFonts w:ascii="Inter" w:hAnsi="Inter" w:eastAsia="Inter"/>
          <w:i/>
          <w:color w:val="667085"/>
          <w:sz w:val="18"/>
        </w:rPr>
        <w:t>Clear ownership of durable, ephemeral, derived and portable data.</w:t>
      </w:r>
    </w:p>
    <w:p>
      <w:pPr>
        <w:spacing w:before="0" w:after="140" w:line="269" w:lineRule="auto"/>
        <w:pBdr>
          <w:bottom w:val="single" w:sz="7" w:space="1" w:color="C9B2B5"/>
        </w:pBdr>
      </w:pPr>
    </w:p>
    <w:p>
      <w:r>
        <w:drawing>
          <wp:inline xmlns:a="http://schemas.openxmlformats.org/drawingml/2006/main" xmlns:pic="http://schemas.openxmlformats.org/drawingml/2006/picture">
            <wp:extent cx="6120000" cy="1904000"/>
            <wp:docPr id="3" name="Picture 3"/>
            <wp:cNvGraphicFramePr>
              <a:graphicFrameLocks noChangeAspect="1"/>
            </wp:cNvGraphicFramePr>
            <a:graphic>
              <a:graphicData uri="http://schemas.openxmlformats.org/drawingml/2006/picture">
                <pic:pic>
                  <pic:nvPicPr>
                    <pic:cNvPr id="0" name="data_flow.png"/>
                    <pic:cNvPicPr/>
                  </pic:nvPicPr>
                  <pic:blipFill>
                    <a:blip r:embed="rId13"/>
                    <a:stretch>
                      <a:fillRect/>
                    </a:stretch>
                  </pic:blipFill>
                  <pic:spPr>
                    <a:xfrm>
                      <a:off x="0" y="0"/>
                      <a:ext cx="6120000" cy="1904000"/>
                    </a:xfrm>
                    <a:prstGeom prst="rect"/>
                  </pic:spPr>
                </pic:pic>
              </a:graphicData>
            </a:graphic>
          </wp:inline>
        </w:drawing>
      </w:r>
    </w:p>
    <w:p>
      <w:pPr>
        <w:spacing w:before="40" w:after="120" w:line="269" w:lineRule="auto"/>
        <w:jc w:val="center"/>
      </w:pPr>
      <w:r>
        <w:rPr>
          <w:rFonts w:ascii="Inter" w:hAnsi="Inter" w:eastAsia="Inter"/>
          <w:i/>
          <w:color w:val="667085"/>
          <w:sz w:val="15"/>
        </w:rPr>
        <w:t>Figure 3. Core data lifecycle — all primary processing occurs in the browser.</w:t>
      </w:r>
    </w:p>
    <w:p>
      <w:pPr>
        <w:pStyle w:val="Heading2"/>
        <w:keepNext/>
        <w:spacing w:before="140" w:after="60" w:line="269" w:lineRule="auto"/>
      </w:pPr>
      <w:r>
        <w:rPr>
          <w:rFonts w:ascii="Inter Display" w:hAnsi="Inter Display" w:eastAsia="Inter Display"/>
          <w:b/>
          <w:color w:val="7B0F22"/>
          <w:sz w:val="23"/>
        </w:rPr>
        <w:t>Persistent entities</w:t>
      </w: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1928"/>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Entity</w:t>
            </w:r>
          </w:p>
        </w:tc>
        <w:tc>
          <w:tcPr>
            <w:tcW w:type="dxa" w:w="4932"/>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Representative fields</w:t>
            </w:r>
          </w:p>
        </w:tc>
        <w:tc>
          <w:tcPr>
            <w:tcW w:type="dxa" w:w="2494"/>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Lifecycle</w:t>
            </w:r>
          </w:p>
        </w:tc>
      </w:tr>
      <w:tr>
        <w:trPr>
          <w:cantSplit/>
        </w:trPr>
        <w:tc>
          <w:tcPr>
            <w:tcW w:type="dxa" w:w="1928"/>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Project</w:t>
            </w:r>
          </w:p>
        </w:tc>
        <w:tc>
          <w:tcPr>
            <w:tcW w:type="dxa" w:w="4932"/>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id, name, description, BPMN XML, createdAt, updatedAt, schemaVersion</w:t>
            </w:r>
          </w:p>
        </w:tc>
        <w:tc>
          <w:tcPr>
            <w:tcW w:type="dxa" w:w="2494"/>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Long-lived local record</w:t>
            </w:r>
          </w:p>
        </w:tc>
      </w:tr>
      <w:tr>
        <w:trPr>
          <w:cantSplit/>
        </w:trPr>
        <w:tc>
          <w:tcPr>
            <w:tcW w:type="dxa" w:w="1928"/>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Scenario</w:t>
            </w:r>
          </w:p>
        </w:tc>
        <w:tc>
          <w:tcPr>
            <w:tcW w:type="dxa" w:w="4932"/>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id, projectId, name, element assumptions, SLA, run defaults, updatedAt</w:t>
            </w:r>
          </w:p>
        </w:tc>
        <w:tc>
          <w:tcPr>
            <w:tcW w:type="dxa" w:w="2494"/>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Multiple per project</w:t>
            </w:r>
          </w:p>
        </w:tc>
      </w:tr>
      <w:tr>
        <w:trPr>
          <w:cantSplit/>
        </w:trPr>
        <w:tc>
          <w:tcPr>
            <w:tcW w:type="dxa" w:w="1928"/>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SimulationRun</w:t>
            </w:r>
          </w:p>
        </w:tc>
        <w:tc>
          <w:tcPr>
            <w:tcW w:type="dxa" w:w="4932"/>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id, projectId, scenarioId, seed, iterations, fingerprint, summary, createdAt</w:t>
            </w:r>
          </w:p>
        </w:tc>
        <w:tc>
          <w:tcPr>
            <w:tcW w:type="dxa" w:w="2494"/>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Persist summary selectively</w:t>
            </w:r>
          </w:p>
        </w:tc>
      </w:tr>
      <w:tr>
        <w:trPr>
          <w:cantSplit/>
        </w:trPr>
        <w:tc>
          <w:tcPr>
            <w:tcW w:type="dxa" w:w="1928"/>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UserPreference</w:t>
            </w:r>
          </w:p>
        </w:tc>
        <w:tc>
          <w:tcPr>
            <w:tcW w:type="dxa" w:w="4932"/>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theme, reducedMotion, density, defaultIterations, editor preferences</w:t>
            </w:r>
          </w:p>
        </w:tc>
        <w:tc>
          <w:tcPr>
            <w:tcW w:type="dxa" w:w="2494"/>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Local device preference</w:t>
            </w:r>
          </w:p>
        </w:tc>
      </w:tr>
    </w:tbl>
    <w:p>
      <w:pPr>
        <w:spacing w:after="0"/>
      </w:pPr>
    </w:p>
    <w:p>
      <w:pPr>
        <w:pStyle w:val="Heading2"/>
        <w:keepNext/>
        <w:spacing w:before="140" w:after="60" w:line="269" w:lineRule="auto"/>
      </w:pPr>
      <w:r>
        <w:rPr>
          <w:rFonts w:ascii="Inter Display" w:hAnsi="Inter Display" w:eastAsia="Inter Display"/>
          <w:b/>
          <w:color w:val="7B0F22"/>
          <w:sz w:val="23"/>
        </w:rPr>
        <w:t>Persistence policy</w:t>
      </w:r>
    </w:p>
    <w:p>
      <w:pPr>
        <w:pStyle w:val="ListBullet"/>
        <w:spacing w:before="0" w:after="80" w:line="259" w:lineRule="auto"/>
      </w:pPr>
      <w:r>
        <w:rPr>
          <w:rFonts w:ascii="Inter" w:hAnsi="Inter" w:eastAsia="Inter"/>
          <w:color w:val="20242A"/>
          <w:sz w:val="18"/>
        </w:rPr>
        <w:t>Use IndexedDB through a repository abstraction backed by Dexie.js.</w:t>
      </w:r>
    </w:p>
    <w:p>
      <w:pPr>
        <w:pStyle w:val="ListBullet"/>
        <w:spacing w:before="0" w:after="80" w:line="259" w:lineRule="auto"/>
      </w:pPr>
      <w:r>
        <w:rPr>
          <w:rFonts w:ascii="Inter" w:hAnsi="Inter" w:eastAsia="Inter"/>
          <w:color w:val="20242A"/>
          <w:sz w:val="18"/>
        </w:rPr>
        <w:t>Version every database schema change and test upgrade paths from supported historical versions.</w:t>
      </w:r>
    </w:p>
    <w:p>
      <w:pPr>
        <w:pStyle w:val="ListBullet"/>
        <w:spacing w:before="0" w:after="80" w:line="259" w:lineRule="auto"/>
      </w:pPr>
      <w:r>
        <w:rPr>
          <w:rFonts w:ascii="Inter" w:hAnsi="Inter" w:eastAsia="Inter"/>
          <w:color w:val="20242A"/>
          <w:sz w:val="18"/>
        </w:rPr>
        <w:t>Use debounced autosave; visually distinguish “Saving”, “Saved locally” and “Save failed”.</w:t>
      </w:r>
    </w:p>
    <w:p>
      <w:pPr>
        <w:pStyle w:val="ListBullet"/>
        <w:spacing w:before="0" w:after="80" w:line="259" w:lineRule="auto"/>
      </w:pPr>
      <w:r>
        <w:rPr>
          <w:rFonts w:ascii="Inter" w:hAnsi="Inter" w:eastAsia="Inter"/>
          <w:color w:val="20242A"/>
          <w:sz w:val="18"/>
        </w:rPr>
        <w:t>Do not retain every event from every simulated case by default. Persist aggregates, histograms, representative paths and run metadata unless raw traces are explicitly required.</w:t>
      </w:r>
    </w:p>
    <w:p>
      <w:pPr>
        <w:pStyle w:val="ListBullet"/>
        <w:spacing w:before="0" w:after="80" w:line="259" w:lineRule="auto"/>
      </w:pPr>
      <w:r>
        <w:rPr>
          <w:rFonts w:ascii="Inter" w:hAnsi="Inter" w:eastAsia="Inter"/>
          <w:color w:val="20242A"/>
          <w:sz w:val="18"/>
        </w:rPr>
        <w:t>Treat exported .aridentflow files as versioned application data. Include schema version, product version, project/scenarios and optional result summaries.</w:t>
      </w:r>
    </w:p>
    <w:p>
      <w:pPr>
        <w:pStyle w:val="ListBullet"/>
        <w:spacing w:before="0" w:after="80" w:line="259" w:lineRule="auto"/>
      </w:pPr>
      <w:r>
        <w:rPr>
          <w:rFonts w:ascii="Inter" w:hAnsi="Inter" w:eastAsia="Inter"/>
          <w:color w:val="20242A"/>
          <w:sz w:val="18"/>
        </w:rPr>
        <w:t>Use a configuration fingerprint to detect stale simulation results after assumptions change.</w:t>
      </w:r>
    </w:p>
    <w:p>
      <w:pPr>
        <w:pStyle w:val="Heading2"/>
        <w:keepNext/>
        <w:spacing w:before="140" w:after="60" w:line="269" w:lineRule="auto"/>
      </w:pPr>
      <w:r>
        <w:rPr>
          <w:rFonts w:ascii="Inter Display" w:hAnsi="Inter Display" w:eastAsia="Inter Display"/>
          <w:b/>
          <w:color w:val="7B0F22"/>
          <w:sz w:val="23"/>
        </w:rPr>
        <w:t>Local-data limitations</w:t>
      </w:r>
    </w:p>
    <w:tbl>
      <w:tblPr>
        <w:tblW w:type="auto" w:w="0"/>
        <w:jc w:val="center"/>
        <w:tblLayout w:type="autofit"/>
        <w:tblLook w:firstColumn="1" w:firstRow="1" w:lastColumn="0" w:lastRow="0" w:noHBand="0" w:noVBand="1" w:val="04A0"/>
      </w:tblPr>
      <w:tblGrid>
        <w:gridCol w:w="10092"/>
      </w:tblGrid>
      <w:tr>
        <w:trPr>
          <w:cantSplit/>
        </w:trPr>
        <w:tc>
          <w:tcPr>
            <w:tcW w:type="dxa" w:w="10092"/>
            <w:shd w:fill="F7F2F1"/>
            <w:tcMar>
              <w:top w:w="120" w:type="dxa"/>
              <w:start w:w="180" w:type="dxa"/>
              <w:bottom w:w="120" w:type="dxa"/>
              <w:end w:w="180" w:type="dxa"/>
            </w:tcMar>
            <w:tcBorders>
              <w:top w:val="nil"/>
              <w:left w:val="single" w:sz="20" w:color="5A0F1A"/>
              <w:bottom w:val="nil"/>
              <w:right w:val="nil"/>
            </w:tcBorders>
          </w:tcPr>
          <w:p>
            <w:pPr>
              <w:spacing w:before="0" w:after="60" w:line="269" w:lineRule="auto"/>
            </w:pPr>
            <w:r>
              <w:rPr>
                <w:rFonts w:ascii="Inter" w:hAnsi="Inter" w:eastAsia="Inter"/>
                <w:b/>
                <w:color w:val="5A0F1A"/>
                <w:sz w:val="16"/>
              </w:rPr>
              <w:t>IMPORTANT EXPECTATION</w:t>
            </w:r>
          </w:p>
          <w:p>
            <w:pPr>
              <w:spacing w:before="0" w:after="0" w:line="269" w:lineRule="auto"/>
            </w:pPr>
            <w:r>
              <w:rPr>
                <w:rFonts w:ascii="Inter" w:hAnsi="Inter" w:eastAsia="Inter"/>
                <w:color w:val="20242A"/>
                <w:sz w:val="18"/>
              </w:rPr>
              <w:t>Browser storage is durable enough for a local-first application workflow but is not an enterprise backup guarantee. The UI should encourage users to export important projects before clearing browser/site data or moving devices.</w:t>
            </w:r>
          </w:p>
        </w:tc>
      </w:tr>
    </w:tbl>
    <w:p>
      <w:pPr>
        <w:spacing w:after="0"/>
      </w:pPr>
    </w:p>
    <w:p>
      <w:pPr>
        <w:pStyle w:val="Heading1"/>
        <w:keepNext/>
        <w:spacing w:before="200" w:after="80" w:line="269" w:lineRule="auto"/>
      </w:pPr>
      <w:r>
        <w:rPr>
          <w:rFonts w:ascii="Inter Display" w:hAnsi="Inter Display" w:eastAsia="Inter Display"/>
          <w:b/>
          <w:color w:val="B87333"/>
          <w:sz w:val="22"/>
        </w:rPr>
        <w:t>17</w:t>
      </w:r>
      <w:r>
        <w:rPr>
          <w:rFonts w:ascii="Inter Display" w:hAnsi="Inter Display" w:eastAsia="Inter Display"/>
          <w:b/>
          <w:color w:val="5A0F1A"/>
          <w:sz w:val="36"/>
        </w:rPr>
        <w:t xml:space="preserve">  Security Considerations</w:t>
      </w:r>
    </w:p>
    <w:p>
      <w:pPr>
        <w:spacing w:before="0" w:after="140" w:line="269" w:lineRule="auto"/>
      </w:pPr>
      <w:r>
        <w:rPr>
          <w:rFonts w:ascii="Inter" w:hAnsi="Inter" w:eastAsia="Inter"/>
          <w:i/>
          <w:color w:val="667085"/>
          <w:sz w:val="18"/>
        </w:rPr>
        <w:t>Security controls appropriate to a local-first application that accepts rich user files and executes complex client-side logic.</w:t>
      </w:r>
    </w:p>
    <w:p>
      <w:pPr>
        <w:spacing w:before="0" w:after="140" w:line="269" w:lineRule="auto"/>
        <w:pBdr>
          <w:bottom w:val="single" w:sz="7" w:space="1" w:color="C9B2B5"/>
        </w:pBdr>
      </w:pP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1928"/>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Threat / concern</w:t>
            </w:r>
          </w:p>
        </w:tc>
        <w:tc>
          <w:tcPr>
            <w:tcW w:type="dxa" w:w="3402"/>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Risk</w:t>
            </w:r>
          </w:p>
        </w:tc>
        <w:tc>
          <w:tcPr>
            <w:tcW w:type="dxa" w:w="4025"/>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Control</w:t>
            </w:r>
          </w:p>
        </w:tc>
      </w:tr>
      <w:tr>
        <w:trPr>
          <w:cantSplit/>
        </w:trPr>
        <w:tc>
          <w:tcPr>
            <w:tcW w:type="dxa" w:w="1928"/>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5"/>
              </w:rPr>
              <w:t>Untrusted BPMN/project import</w:t>
            </w:r>
          </w:p>
        </w:tc>
        <w:tc>
          <w:tcPr>
            <w:tcW w:type="dxa" w:w="3402"/>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Malformed XML/JSON, oversized files, unexpected values</w:t>
            </w:r>
          </w:p>
        </w:tc>
        <w:tc>
          <w:tcPr>
            <w:tcW w:type="dxa" w:w="4025"/>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Validate type/size/schema, reject unsafe values, fail closed with clear errors</w:t>
            </w:r>
          </w:p>
        </w:tc>
      </w:tr>
      <w:tr>
        <w:trPr>
          <w:cantSplit/>
        </w:trPr>
        <w:tc>
          <w:tcPr>
            <w:tcW w:type="dxa" w:w="1928"/>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5"/>
              </w:rPr>
              <w:t>Cross-site scripting</w:t>
            </w:r>
          </w:p>
        </w:tc>
        <w:tc>
          <w:tcPr>
            <w:tcW w:type="dxa" w:w="3402"/>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Process labels/metadata rendered into UI or reports</w:t>
            </w:r>
          </w:p>
        </w:tc>
        <w:tc>
          <w:tcPr>
            <w:tcW w:type="dxa" w:w="4025"/>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Never inject raw HTML; use framework escaping; sanitize only when rich text is intentionally supported</w:t>
            </w:r>
          </w:p>
        </w:tc>
      </w:tr>
      <w:tr>
        <w:trPr>
          <w:cantSplit/>
        </w:trPr>
        <w:tc>
          <w:tcPr>
            <w:tcW w:type="dxa" w:w="1928"/>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5"/>
              </w:rPr>
              <w:t>Arbitrary code execution</w:t>
            </w:r>
          </w:p>
        </w:tc>
        <w:tc>
          <w:tcPr>
            <w:tcW w:type="dxa" w:w="3402"/>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User formulas or expressions becoming JavaScript</w:t>
            </w:r>
          </w:p>
        </w:tc>
        <w:tc>
          <w:tcPr>
            <w:tcW w:type="dxa" w:w="4025"/>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Do not support arbitrary JavaScript; future formulas use constrained parser/evaluator</w:t>
            </w:r>
          </w:p>
        </w:tc>
      </w:tr>
      <w:tr>
        <w:trPr>
          <w:cantSplit/>
        </w:trPr>
        <w:tc>
          <w:tcPr>
            <w:tcW w:type="dxa" w:w="1928"/>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5"/>
              </w:rPr>
              <w:t>Supply chain</w:t>
            </w:r>
          </w:p>
        </w:tc>
        <w:tc>
          <w:tcPr>
            <w:tcW w:type="dxa" w:w="3402"/>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Compromised or vulnerable dependencies</w:t>
            </w:r>
          </w:p>
        </w:tc>
        <w:tc>
          <w:tcPr>
            <w:tcW w:type="dxa" w:w="4025"/>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Lockfile, vulnerability scanning, dependency review, license/notice inventory</w:t>
            </w:r>
          </w:p>
        </w:tc>
      </w:tr>
      <w:tr>
        <w:trPr>
          <w:cantSplit/>
        </w:trPr>
        <w:tc>
          <w:tcPr>
            <w:tcW w:type="dxa" w:w="1928"/>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5"/>
              </w:rPr>
              <w:t>Sensitive local data</w:t>
            </w:r>
          </w:p>
        </w:tc>
        <w:tc>
          <w:tcPr>
            <w:tcW w:type="dxa" w:w="3402"/>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Shared device or browser profile exposes project information</w:t>
            </w:r>
          </w:p>
        </w:tc>
        <w:tc>
          <w:tcPr>
            <w:tcW w:type="dxa" w:w="4025"/>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Clear privacy messaging; user-controlled deletion/export; future optional local encryption only with a sound key model</w:t>
            </w:r>
          </w:p>
        </w:tc>
      </w:tr>
      <w:tr>
        <w:trPr>
          <w:cantSplit/>
        </w:trPr>
        <w:tc>
          <w:tcPr>
            <w:tcW w:type="dxa" w:w="1928"/>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5"/>
              </w:rPr>
              <w:t>Network exfiltration</w:t>
            </w:r>
          </w:p>
        </w:tc>
        <w:tc>
          <w:tcPr>
            <w:tcW w:type="dxa" w:w="3402"/>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Unnecessary third-party scripts receive context</w:t>
            </w:r>
          </w:p>
        </w:tc>
        <w:tc>
          <w:tcPr>
            <w:tcW w:type="dxa" w:w="4025"/>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No third-party analytics by default; restrictive CSP; minimize external origins</w:t>
            </w:r>
          </w:p>
        </w:tc>
      </w:tr>
      <w:tr>
        <w:trPr>
          <w:cantSplit/>
        </w:trPr>
        <w:tc>
          <w:tcPr>
            <w:tcW w:type="dxa" w:w="1928"/>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5"/>
              </w:rPr>
              <w:t>Worker abuse</w:t>
            </w:r>
          </w:p>
        </w:tc>
        <w:tc>
          <w:tcPr>
            <w:tcW w:type="dxa" w:w="3402"/>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Very large simulations exhaust CPU/memory</w:t>
            </w:r>
          </w:p>
        </w:tc>
        <w:tc>
          <w:tcPr>
            <w:tcW w:type="dxa" w:w="4025"/>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Safe limits, cancellation, iteration caps, memory-aware aggregation</w:t>
            </w:r>
          </w:p>
        </w:tc>
      </w:tr>
      <w:tr>
        <w:trPr>
          <w:cantSplit/>
        </w:trPr>
        <w:tc>
          <w:tcPr>
            <w:tcW w:type="dxa" w:w="1928"/>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5"/>
              </w:rPr>
              <w:t>File export</w:t>
            </w:r>
          </w:p>
        </w:tc>
        <w:tc>
          <w:tcPr>
            <w:tcW w:type="dxa" w:w="3402"/>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Report/project package leaks sensitive content</w:t>
            </w:r>
          </w:p>
        </w:tc>
        <w:tc>
          <w:tcPr>
            <w:tcW w:type="dxa" w:w="4025"/>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Explicit export action; clear file contents; optional redaction capabilities as future feature</w:t>
            </w:r>
          </w:p>
        </w:tc>
      </w:tr>
    </w:tbl>
    <w:p>
      <w:pPr>
        <w:spacing w:after="0"/>
      </w:pPr>
    </w:p>
    <w:p>
      <w:pPr>
        <w:pStyle w:val="Heading2"/>
        <w:keepNext/>
        <w:spacing w:before="140" w:after="60" w:line="269" w:lineRule="auto"/>
      </w:pPr>
      <w:r>
        <w:rPr>
          <w:rFonts w:ascii="Inter Display" w:hAnsi="Inter Display" w:eastAsia="Inter Display"/>
          <w:b/>
          <w:color w:val="7B0F22"/>
          <w:sz w:val="23"/>
        </w:rPr>
        <w:t>Content Security Policy direction</w:t>
      </w:r>
    </w:p>
    <w:p>
      <w:pPr>
        <w:pStyle w:val="BodyText"/>
        <w:spacing w:before="0" w:after="100" w:line="269" w:lineRule="auto"/>
      </w:pPr>
      <w:r>
        <w:rPr>
          <w:rFonts w:ascii="Inter" w:hAnsi="Inter" w:eastAsia="Inter"/>
          <w:i w:val="0"/>
          <w:color w:val="20242A"/>
        </w:rPr>
        <w:t>Use the most restrictive CSP compatible with static Next.js assets, workers and required modeler behavior. Avoid broad script/style origins and avoid adding remote script tags for convenience.</w:t>
      </w:r>
    </w:p>
    <w:p>
      <w:pPr>
        <w:pStyle w:val="Heading2"/>
        <w:keepNext/>
        <w:spacing w:before="140" w:after="60" w:line="269" w:lineRule="auto"/>
      </w:pPr>
      <w:r>
        <w:rPr>
          <w:rFonts w:ascii="Inter Display" w:hAnsi="Inter Display" w:eastAsia="Inter Display"/>
          <w:b/>
          <w:color w:val="7B0F22"/>
          <w:sz w:val="23"/>
        </w:rPr>
        <w:t>Privacy statement direction</w:t>
      </w:r>
    </w:p>
    <w:tbl>
      <w:tblPr>
        <w:tblW w:type="auto" w:w="0"/>
        <w:jc w:val="center"/>
        <w:tblLayout w:type="autofit"/>
        <w:tblLook w:firstColumn="1" w:firstRow="1" w:lastColumn="0" w:lastRow="0" w:noHBand="0" w:noVBand="1" w:val="04A0"/>
      </w:tblPr>
      <w:tblGrid>
        <w:gridCol w:w="10092"/>
      </w:tblGrid>
      <w:tr>
        <w:trPr>
          <w:cantSplit/>
        </w:trPr>
        <w:tc>
          <w:tcPr>
            <w:tcW w:type="dxa" w:w="10092"/>
            <w:shd w:fill="FBF7EE"/>
            <w:tcMar>
              <w:top w:w="120" w:type="dxa"/>
              <w:start w:w="180" w:type="dxa"/>
              <w:bottom w:w="120" w:type="dxa"/>
              <w:end w:w="180" w:type="dxa"/>
            </w:tcMar>
            <w:tcBorders>
              <w:top w:val="nil"/>
              <w:left w:val="single" w:sz="20" w:color="B87333"/>
              <w:bottom w:val="nil"/>
              <w:right w:val="nil"/>
            </w:tcBorders>
          </w:tcPr>
          <w:p>
            <w:pPr>
              <w:spacing w:before="0" w:after="60" w:line="269" w:lineRule="auto"/>
            </w:pPr>
            <w:r>
              <w:rPr>
                <w:rFonts w:ascii="Inter" w:hAnsi="Inter" w:eastAsia="Inter"/>
                <w:b/>
                <w:color w:val="B87333"/>
                <w:sz w:val="16"/>
              </w:rPr>
              <w:t>RECOMMENDED WORDING</w:t>
            </w:r>
          </w:p>
          <w:p>
            <w:pPr>
              <w:spacing w:before="0" w:after="0" w:line="269" w:lineRule="auto"/>
            </w:pPr>
            <w:r>
              <w:rPr>
                <w:rFonts w:ascii="Inter" w:hAnsi="Inter" w:eastAsia="Inter"/>
                <w:color w:val="20242A"/>
                <w:sz w:val="18"/>
              </w:rPr>
              <w:t>“AridentFlow processes core project and simulation data locally in your browser and does not intentionally upload that data to an AridentFlow application server in the MVP.” This is precise without claiming control over the user’s browser extensions, device, network or hosting environment.</w:t>
            </w:r>
          </w:p>
        </w:tc>
      </w:tr>
    </w:tbl>
    <w:p>
      <w:pPr>
        <w:spacing w:after="0"/>
      </w:pPr>
    </w:p>
    <w:p>
      <w:pPr>
        <w:pStyle w:val="Heading1"/>
        <w:keepNext/>
        <w:spacing w:before="200" w:after="80" w:line="269" w:lineRule="auto"/>
      </w:pPr>
      <w:r>
        <w:rPr>
          <w:rFonts w:ascii="Inter Display" w:hAnsi="Inter Display" w:eastAsia="Inter Display"/>
          <w:b/>
          <w:color w:val="B87333"/>
          <w:sz w:val="22"/>
        </w:rPr>
        <w:t>18</w:t>
      </w:r>
      <w:r>
        <w:rPr>
          <w:rFonts w:ascii="Inter Display" w:hAnsi="Inter Display" w:eastAsia="Inter Display"/>
          <w:b/>
          <w:color w:val="5A0F1A"/>
          <w:sz w:val="36"/>
        </w:rPr>
        <w:t xml:space="preserve">  Performance and Scalability</w:t>
      </w:r>
    </w:p>
    <w:p>
      <w:pPr>
        <w:spacing w:before="0" w:after="140" w:line="269" w:lineRule="auto"/>
      </w:pPr>
      <w:r>
        <w:rPr>
          <w:rFonts w:ascii="Inter" w:hAnsi="Inter" w:eastAsia="Inter"/>
          <w:i/>
          <w:color w:val="667085"/>
          <w:sz w:val="18"/>
        </w:rPr>
        <w:t>Engineering targets that keep an analytical studio responsive without pretending the browser has unlimited compute.</w:t>
      </w:r>
    </w:p>
    <w:p>
      <w:pPr>
        <w:spacing w:before="0" w:after="140" w:line="269" w:lineRule="auto"/>
        <w:pBdr>
          <w:bottom w:val="single" w:sz="7" w:space="1" w:color="C9B2B5"/>
        </w:pBdr>
      </w:pP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1701"/>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Area</w:t>
            </w:r>
          </w:p>
        </w:tc>
        <w:tc>
          <w:tcPr>
            <w:tcW w:type="dxa" w:w="4535"/>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Target / rule</w:t>
            </w:r>
          </w:p>
        </w:tc>
        <w:tc>
          <w:tcPr>
            <w:tcW w:type="dxa" w:w="3118"/>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Validation approach</w:t>
            </w:r>
          </w:p>
        </w:tc>
      </w:tr>
      <w:tr>
        <w:trPr>
          <w:cantSplit/>
        </w:trPr>
        <w:tc>
          <w:tcPr>
            <w:tcW w:type="dxa" w:w="1701"/>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Initial shell</w:t>
            </w:r>
          </w:p>
        </w:tc>
        <w:tc>
          <w:tcPr>
            <w:tcW w:type="dxa" w:w="4535"/>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Public/workspace entry should load without eagerly shipping the full modeler/analytics stack.</w:t>
            </w:r>
          </w:p>
        </w:tc>
        <w:tc>
          <w:tcPr>
            <w:tcW w:type="dxa" w:w="311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Bundle analysis and browser performance traces</w:t>
            </w:r>
          </w:p>
        </w:tc>
      </w:tr>
      <w:tr>
        <w:trPr>
          <w:cantSplit/>
        </w:trPr>
        <w:tc>
          <w:tcPr>
            <w:tcW w:type="dxa" w:w="1701"/>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Studio interaction</w:t>
            </w:r>
          </w:p>
        </w:tc>
        <w:tc>
          <w:tcPr>
            <w:tcW w:type="dxa" w:w="4535"/>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Normal canvas selection and inspector edits should feel immediate on reference hardware.</w:t>
            </w:r>
          </w:p>
        </w:tc>
        <w:tc>
          <w:tcPr>
            <w:tcW w:type="dxa" w:w="311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Performance profiling; avoid unnecessary rerenders</w:t>
            </w:r>
          </w:p>
        </w:tc>
      </w:tr>
      <w:tr>
        <w:trPr>
          <w:cantSplit/>
        </w:trPr>
        <w:tc>
          <w:tcPr>
            <w:tcW w:type="dxa" w:w="1701"/>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Simulation</w:t>
            </w:r>
          </w:p>
        </w:tc>
        <w:tc>
          <w:tcPr>
            <w:tcW w:type="dxa" w:w="4535"/>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Heavy computation runs in a Web Worker and can be cancelled.</w:t>
            </w:r>
          </w:p>
        </w:tc>
        <w:tc>
          <w:tcPr>
            <w:tcW w:type="dxa" w:w="311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Main-thread responsiveness test</w:t>
            </w:r>
          </w:p>
        </w:tc>
      </w:tr>
      <w:tr>
        <w:trPr>
          <w:cantSplit/>
        </w:trPr>
        <w:tc>
          <w:tcPr>
            <w:tcW w:type="dxa" w:w="1701"/>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Reference benchmark</w:t>
            </w:r>
          </w:p>
        </w:tc>
        <w:tc>
          <w:tcPr>
            <w:tcW w:type="dxa" w:w="4535"/>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Track a representative ~50-node process at 10,000 iterations on a fixed CI/reference machine.</w:t>
            </w:r>
          </w:p>
        </w:tc>
        <w:tc>
          <w:tcPr>
            <w:tcW w:type="dxa" w:w="311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Benchmark history; regression threshold</w:t>
            </w:r>
          </w:p>
        </w:tc>
      </w:tr>
      <w:tr>
        <w:trPr>
          <w:cantSplit/>
        </w:trPr>
        <w:tc>
          <w:tcPr>
            <w:tcW w:type="dxa" w:w="1701"/>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Memory</w:t>
            </w:r>
          </w:p>
        </w:tc>
        <w:tc>
          <w:tcPr>
            <w:tcW w:type="dxa" w:w="4535"/>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Aggregate results incrementally instead of storing every simulated event.</w:t>
            </w:r>
          </w:p>
        </w:tc>
        <w:tc>
          <w:tcPr>
            <w:tcW w:type="dxa" w:w="311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Heap profiling on large runs</w:t>
            </w:r>
          </w:p>
        </w:tc>
      </w:tr>
      <w:tr>
        <w:trPr>
          <w:cantSplit/>
        </w:trPr>
        <w:tc>
          <w:tcPr>
            <w:tcW w:type="dxa" w:w="1701"/>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Charts</w:t>
            </w:r>
          </w:p>
        </w:tc>
        <w:tc>
          <w:tcPr>
            <w:tcW w:type="dxa" w:w="4535"/>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Render summarized datasets; virtualize large tables only when profiling justifies it.</w:t>
            </w:r>
          </w:p>
        </w:tc>
        <w:tc>
          <w:tcPr>
            <w:tcW w:type="dxa" w:w="311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Rendering profile and interaction test</w:t>
            </w:r>
          </w:p>
        </w:tc>
      </w:tr>
      <w:tr>
        <w:trPr>
          <w:cantSplit/>
        </w:trPr>
        <w:tc>
          <w:tcPr>
            <w:tcW w:type="dxa" w:w="1701"/>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Autosave</w:t>
            </w:r>
          </w:p>
        </w:tc>
        <w:tc>
          <w:tcPr>
            <w:tcW w:type="dxa" w:w="4535"/>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Debounce persistence and avoid serializing the full project for every keystroke.</w:t>
            </w:r>
          </w:p>
        </w:tc>
        <w:tc>
          <w:tcPr>
            <w:tcW w:type="dxa" w:w="311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Storage trace / write count</w:t>
            </w:r>
          </w:p>
        </w:tc>
      </w:tr>
    </w:tbl>
    <w:p>
      <w:pPr>
        <w:spacing w:after="0"/>
      </w:pPr>
    </w:p>
    <w:p>
      <w:pPr>
        <w:pStyle w:val="Heading2"/>
        <w:keepNext/>
        <w:spacing w:before="140" w:after="60" w:line="269" w:lineRule="auto"/>
      </w:pPr>
      <w:r>
        <w:rPr>
          <w:rFonts w:ascii="Inter Display" w:hAnsi="Inter Display" w:eastAsia="Inter Display"/>
          <w:b/>
          <w:color w:val="7B0F22"/>
          <w:sz w:val="23"/>
        </w:rPr>
        <w:t>Initial scale envelope</w:t>
      </w:r>
    </w:p>
    <w:p>
      <w:pPr>
        <w:pStyle w:val="BodyText"/>
        <w:spacing w:before="0" w:after="100" w:line="269" w:lineRule="auto"/>
      </w:pPr>
      <w:r>
        <w:rPr>
          <w:rFonts w:ascii="Inter" w:hAnsi="Inter" w:eastAsia="Inter"/>
          <w:i w:val="0"/>
          <w:color w:val="20242A"/>
        </w:rPr>
        <w:t>Design the first release for ordinary business processes of roughly up to 200 modeled elements and simulation runs in the thousands to tens of thousands. These are product design targets, not hard guarantees; actual safe limits must be established through benchmark data across supported browsers.</w:t>
      </w:r>
    </w:p>
    <w:p>
      <w:pPr>
        <w:pStyle w:val="Heading2"/>
        <w:keepNext/>
        <w:spacing w:before="140" w:after="60" w:line="269" w:lineRule="auto"/>
      </w:pPr>
      <w:r>
        <w:rPr>
          <w:rFonts w:ascii="Inter Display" w:hAnsi="Inter Display" w:eastAsia="Inter Display"/>
          <w:b/>
          <w:color w:val="7B0F22"/>
          <w:sz w:val="23"/>
        </w:rPr>
        <w:t>Scalability model</w:t>
      </w:r>
    </w:p>
    <w:p>
      <w:pPr>
        <w:pStyle w:val="ListBullet"/>
        <w:spacing w:before="0" w:after="48" w:line="259" w:lineRule="auto"/>
      </w:pPr>
      <w:r>
        <w:rPr>
          <w:rFonts w:ascii="Inter" w:hAnsi="Inter" w:eastAsia="Inter"/>
          <w:color w:val="20242A"/>
          <w:sz w:val="18"/>
        </w:rPr>
        <w:t>Additional users do not increase application simulation compute because each browser executes its own workload.</w:t>
      </w:r>
    </w:p>
    <w:p>
      <w:pPr>
        <w:pStyle w:val="ListBullet"/>
        <w:spacing w:before="0" w:after="48" w:line="259" w:lineRule="auto"/>
      </w:pPr>
      <w:r>
        <w:rPr>
          <w:rFonts w:ascii="Inter" w:hAnsi="Inter" w:eastAsia="Inter"/>
          <w:color w:val="20242A"/>
          <w:sz w:val="18"/>
        </w:rPr>
        <w:t>Static hosting primarily scales asset delivery rather than business-data processing.</w:t>
      </w:r>
    </w:p>
    <w:p>
      <w:pPr>
        <w:pStyle w:val="ListBullet"/>
        <w:spacing w:before="0" w:after="48" w:line="259" w:lineRule="auto"/>
      </w:pPr>
      <w:r>
        <w:rPr>
          <w:rFonts w:ascii="Inter" w:hAnsi="Inter" w:eastAsia="Inter"/>
          <w:color w:val="20242A"/>
          <w:sz w:val="18"/>
        </w:rPr>
        <w:t>The limiting factors are client CPU, memory, browser storage and diagram complexity.</w:t>
      </w:r>
    </w:p>
    <w:p>
      <w:pPr>
        <w:pStyle w:val="ListBullet"/>
        <w:spacing w:before="0" w:after="48" w:line="259" w:lineRule="auto"/>
      </w:pPr>
      <w:r>
        <w:rPr>
          <w:rFonts w:ascii="Inter" w:hAnsi="Inter" w:eastAsia="Inter"/>
          <w:color w:val="20242A"/>
          <w:sz w:val="18"/>
        </w:rPr>
        <w:t>A future optional cloud simulation adapter can implement the same domain contracts for workloads beyond browser limits.</w:t>
      </w:r>
    </w:p>
    <w:p>
      <w:pPr>
        <w:pStyle w:val="Heading1"/>
        <w:keepNext/>
        <w:spacing w:before="200" w:after="80" w:line="269" w:lineRule="auto"/>
      </w:pPr>
      <w:r>
        <w:rPr>
          <w:rFonts w:ascii="Inter Display" w:hAnsi="Inter Display" w:eastAsia="Inter Display"/>
          <w:b/>
          <w:color w:val="B87333"/>
          <w:sz w:val="22"/>
        </w:rPr>
        <w:t>19</w:t>
      </w:r>
      <w:r>
        <w:rPr>
          <w:rFonts w:ascii="Inter Display" w:hAnsi="Inter Display" w:eastAsia="Inter Display"/>
          <w:b/>
          <w:color w:val="5A0F1A"/>
          <w:sz w:val="36"/>
        </w:rPr>
        <w:t xml:space="preserve">  Project Structure and Engineering Standards</w:t>
      </w:r>
    </w:p>
    <w:p>
      <w:pPr>
        <w:spacing w:before="0" w:after="140" w:line="269" w:lineRule="auto"/>
      </w:pPr>
      <w:r>
        <w:rPr>
          <w:rFonts w:ascii="Inter" w:hAnsi="Inter" w:eastAsia="Inter"/>
          <w:i/>
          <w:color w:val="667085"/>
          <w:sz w:val="18"/>
        </w:rPr>
        <w:t>Repository boundaries and delivery rules intended to keep the codebase understandable as features accumulate.</w:t>
      </w:r>
    </w:p>
    <w:p>
      <w:pPr>
        <w:spacing w:before="0" w:after="140" w:line="269" w:lineRule="auto"/>
        <w:pBdr>
          <w:bottom w:val="single" w:sz="7" w:space="1" w:color="C9B2B5"/>
        </w:pBdr>
      </w:pPr>
    </w:p>
    <w:p>
      <w:pPr>
        <w:pStyle w:val="Heading2"/>
        <w:keepNext/>
        <w:spacing w:before="140" w:after="60" w:line="269" w:lineRule="auto"/>
      </w:pPr>
      <w:r>
        <w:rPr>
          <w:rFonts w:ascii="Inter Display" w:hAnsi="Inter Display" w:eastAsia="Inter Display"/>
          <w:b/>
          <w:color w:val="7B0F22"/>
          <w:sz w:val="23"/>
        </w:rPr>
        <w:t>Conceptual repository map</w:t>
      </w:r>
    </w:p>
    <w:tbl>
      <w:tblPr>
        <w:tblStyle w:val="TableGrid"/>
        <w:tblW w:type="auto" w:w="0"/>
        <w:jc w:val="center"/>
        <w:tblLook w:firstColumn="1" w:firstRow="1" w:lastColumn="0" w:lastRow="0" w:noHBand="0" w:noVBand="1" w:val="04A0"/>
      </w:tblPr>
      <w:tblGrid>
        <w:gridCol w:w="5046"/>
        <w:gridCol w:w="5046"/>
      </w:tblGrid>
      <w:tr>
        <w:trPr>
          <w:tblHeader w:val="true"/>
        </w:trPr>
        <w:tc>
          <w:tcPr>
            <w:tcW w:type="dxa" w:w="2835"/>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Path / area</w:t>
            </w:r>
          </w:p>
        </w:tc>
        <w:tc>
          <w:tcPr>
            <w:tcW w:type="dxa" w:w="6520"/>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Intent</w:t>
            </w:r>
          </w:p>
        </w:tc>
      </w:tr>
      <w:tr>
        <w:trPr>
          <w:cantSplit/>
        </w:trPr>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src/app</w:t>
            </w:r>
          </w:p>
        </w:tc>
        <w:tc>
          <w:tcPr>
            <w:tcW w:type="dxa" w:w="65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Static routes, layouts and composition only.</w:t>
            </w:r>
          </w:p>
        </w:tc>
      </w:tr>
      <w:tr>
        <w:trPr>
          <w:cantSplit/>
        </w:trPr>
        <w:tc>
          <w:tcPr>
            <w:tcW w:type="dxa" w:w="2835"/>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src/features/*</w:t>
            </w:r>
          </w:p>
        </w:tc>
        <w:tc>
          <w:tcPr>
            <w:tcW w:type="dxa" w:w="65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User-facing capabilities grouped by business workflow.</w:t>
            </w:r>
          </w:p>
        </w:tc>
      </w:tr>
      <w:tr>
        <w:trPr>
          <w:cantSplit/>
        </w:trPr>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src/domain/process</w:t>
            </w:r>
          </w:p>
        </w:tc>
        <w:tc>
          <w:tcPr>
            <w:tcW w:type="dxa" w:w="65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Process graph, nodes, edges and invariants.</w:t>
            </w:r>
          </w:p>
        </w:tc>
      </w:tr>
      <w:tr>
        <w:trPr>
          <w:cantSplit/>
        </w:trPr>
        <w:tc>
          <w:tcPr>
            <w:tcW w:type="dxa" w:w="2835"/>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src/domain/simulation</w:t>
            </w:r>
          </w:p>
        </w:tc>
        <w:tc>
          <w:tcPr>
            <w:tcW w:type="dxa" w:w="65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Distributions, seed/random abstraction, traversal and run aggregation.</w:t>
            </w:r>
          </w:p>
        </w:tc>
      </w:tr>
      <w:tr>
        <w:trPr>
          <w:cantSplit/>
        </w:trPr>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src/domain/analytics</w:t>
            </w:r>
          </w:p>
        </w:tc>
        <w:tc>
          <w:tcPr>
            <w:tcW w:type="dxa" w:w="65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Percentiles, SLA, cost, contribution and comparison calculations.</w:t>
            </w:r>
          </w:p>
        </w:tc>
      </w:tr>
      <w:tr>
        <w:trPr>
          <w:cantSplit/>
        </w:trPr>
        <w:tc>
          <w:tcPr>
            <w:tcW w:type="dxa" w:w="2835"/>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src/application</w:t>
            </w:r>
          </w:p>
        </w:tc>
        <w:tc>
          <w:tcPr>
            <w:tcW w:type="dxa" w:w="65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Use cases, ports and orchestration.</w:t>
            </w:r>
          </w:p>
        </w:tc>
      </w:tr>
      <w:tr>
        <w:trPr>
          <w:cantSplit/>
        </w:trPr>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src/infrastructure/bpmn</w:t>
            </w:r>
          </w:p>
        </w:tc>
        <w:tc>
          <w:tcPr>
            <w:tcW w:type="dxa" w:w="65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Mapping between BPMN modeler/XML and internal domain representation.</w:t>
            </w:r>
          </w:p>
        </w:tc>
      </w:tr>
      <w:tr>
        <w:trPr>
          <w:cantSplit/>
        </w:trPr>
        <w:tc>
          <w:tcPr>
            <w:tcW w:type="dxa" w:w="2835"/>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src/infrastructure/persistence</w:t>
            </w:r>
          </w:p>
        </w:tc>
        <w:tc>
          <w:tcPr>
            <w:tcW w:type="dxa" w:w="65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Dexie schema, repositories and migrations.</w:t>
            </w:r>
          </w:p>
        </w:tc>
      </w:tr>
      <w:tr>
        <w:trPr>
          <w:cantSplit/>
        </w:trPr>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src/infrastructure/files</w:t>
            </w:r>
          </w:p>
        </w:tc>
        <w:tc>
          <w:tcPr>
            <w:tcW w:type="dxa" w:w="65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Import/export and project package handling.</w:t>
            </w:r>
          </w:p>
        </w:tc>
      </w:tr>
      <w:tr>
        <w:trPr>
          <w:cantSplit/>
        </w:trPr>
        <w:tc>
          <w:tcPr>
            <w:tcW w:type="dxa" w:w="2835"/>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src/workers</w:t>
            </w:r>
          </w:p>
        </w:tc>
        <w:tc>
          <w:tcPr>
            <w:tcW w:type="dxa" w:w="65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Worker entrypoints and typed protocol adapters.</w:t>
            </w:r>
          </w:p>
        </w:tc>
      </w:tr>
      <w:tr>
        <w:trPr>
          <w:cantSplit/>
        </w:trPr>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src/shared</w:t>
            </w:r>
          </w:p>
        </w:tc>
        <w:tc>
          <w:tcPr>
            <w:tcW w:type="dxa" w:w="652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Design system, generic utilities, errors and platform helpers.</w:t>
            </w:r>
          </w:p>
        </w:tc>
      </w:tr>
      <w:tr>
        <w:trPr>
          <w:cantSplit/>
        </w:trPr>
        <w:tc>
          <w:tcPr>
            <w:tcW w:type="dxa" w:w="2835"/>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tests/fixtures</w:t>
            </w:r>
          </w:p>
        </w:tc>
        <w:tc>
          <w:tcPr>
            <w:tcW w:type="dxa" w:w="652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Stable reference processes, known outcomes and migration fixtures.</w:t>
            </w:r>
          </w:p>
        </w:tc>
      </w:tr>
    </w:tbl>
    <w:p>
      <w:pPr>
        <w:spacing w:after="0"/>
      </w:pPr>
    </w:p>
    <w:p>
      <w:pPr>
        <w:pStyle w:val="Heading2"/>
        <w:keepNext/>
        <w:spacing w:before="140" w:after="60" w:line="269" w:lineRule="auto"/>
      </w:pPr>
      <w:r>
        <w:rPr>
          <w:rFonts w:ascii="Inter Display" w:hAnsi="Inter Display" w:eastAsia="Inter Display"/>
          <w:b/>
          <w:color w:val="7B0F22"/>
          <w:sz w:val="23"/>
        </w:rPr>
        <w:t>Dependency direction</w:t>
      </w:r>
    </w:p>
    <w:tbl>
      <w:tblPr>
        <w:tblW w:type="auto" w:w="0"/>
        <w:jc w:val="center"/>
        <w:tblLayout w:type="autofit"/>
        <w:tblLook w:firstColumn="1" w:firstRow="1" w:lastColumn="0" w:lastRow="0" w:noHBand="0" w:noVBand="1" w:val="04A0"/>
      </w:tblPr>
      <w:tblGrid>
        <w:gridCol w:w="10092"/>
      </w:tblGrid>
      <w:tr>
        <w:trPr>
          <w:cantSplit/>
        </w:trPr>
        <w:tc>
          <w:tcPr>
            <w:tcW w:type="dxa" w:w="10092"/>
            <w:shd w:fill="F7F2F1"/>
            <w:tcMar>
              <w:top w:w="120" w:type="dxa"/>
              <w:start w:w="180" w:type="dxa"/>
              <w:bottom w:w="120" w:type="dxa"/>
              <w:end w:w="180" w:type="dxa"/>
            </w:tcMar>
            <w:tcBorders>
              <w:top w:val="nil"/>
              <w:left w:val="single" w:sz="20" w:color="5A0F1A"/>
              <w:bottom w:val="nil"/>
              <w:right w:val="nil"/>
            </w:tcBorders>
          </w:tcPr>
          <w:p>
            <w:pPr>
              <w:spacing w:before="0" w:after="60" w:line="269" w:lineRule="auto"/>
            </w:pPr>
            <w:r>
              <w:rPr>
                <w:rFonts w:ascii="Inter" w:hAnsi="Inter" w:eastAsia="Inter"/>
                <w:b/>
                <w:color w:val="5A0F1A"/>
                <w:sz w:val="16"/>
              </w:rPr>
              <w:t>ARCHITECTURE RULE</w:t>
            </w:r>
          </w:p>
          <w:p>
            <w:pPr>
              <w:spacing w:before="0" w:after="0" w:line="269" w:lineRule="auto"/>
            </w:pPr>
            <w:r>
              <w:rPr>
                <w:rFonts w:ascii="Inter" w:hAnsi="Inter" w:eastAsia="Inter"/>
                <w:color w:val="20242A"/>
                <w:sz w:val="18"/>
              </w:rPr>
              <w:t>Domain ← Application ← Features / Infrastructure ← App. Infrastructure can implement ports defined inward; the domain never imports outward frameworks.</w:t>
            </w:r>
          </w:p>
        </w:tc>
      </w:tr>
    </w:tbl>
    <w:p>
      <w:pPr>
        <w:spacing w:after="0"/>
      </w:pPr>
    </w:p>
    <w:p>
      <w:pPr>
        <w:pStyle w:val="Heading2"/>
        <w:keepNext/>
        <w:spacing w:before="140" w:after="60" w:line="269" w:lineRule="auto"/>
      </w:pPr>
      <w:r>
        <w:rPr>
          <w:rFonts w:ascii="Inter Display" w:hAnsi="Inter Display" w:eastAsia="Inter Display"/>
          <w:b/>
          <w:color w:val="7B0F22"/>
          <w:sz w:val="23"/>
        </w:rPr>
        <w:t>Engineering standards</w:t>
      </w:r>
    </w:p>
    <w:p>
      <w:pPr>
        <w:pStyle w:val="ListBullet"/>
        <w:spacing w:before="0" w:after="80" w:line="259" w:lineRule="auto"/>
      </w:pPr>
      <w:r>
        <w:rPr>
          <w:rFonts w:ascii="Inter" w:hAnsi="Inter" w:eastAsia="Inter"/>
          <w:color w:val="20242A"/>
          <w:sz w:val="18"/>
        </w:rPr>
        <w:t>TypeScript strict mode; avoid `any` except at explicitly validated external boundaries.</w:t>
      </w:r>
    </w:p>
    <w:p>
      <w:pPr>
        <w:pStyle w:val="ListBullet"/>
        <w:spacing w:before="0" w:after="80" w:line="259" w:lineRule="auto"/>
      </w:pPr>
      <w:r>
        <w:rPr>
          <w:rFonts w:ascii="Inter" w:hAnsi="Inter" w:eastAsia="Inter"/>
          <w:color w:val="20242A"/>
          <w:sz w:val="18"/>
        </w:rPr>
        <w:t>Domain functions favor explicit inputs/outputs and deterministic behavior.</w:t>
      </w:r>
    </w:p>
    <w:p>
      <w:pPr>
        <w:pStyle w:val="ListBullet"/>
        <w:spacing w:before="0" w:after="80" w:line="259" w:lineRule="auto"/>
      </w:pPr>
      <w:r>
        <w:rPr>
          <w:rFonts w:ascii="Inter" w:hAnsi="Inter" w:eastAsia="Inter"/>
          <w:color w:val="20242A"/>
          <w:sz w:val="18"/>
        </w:rPr>
        <w:t>No direct IndexedDB access outside the persistence adapter.</w:t>
      </w:r>
    </w:p>
    <w:p>
      <w:pPr>
        <w:pStyle w:val="ListBullet"/>
        <w:spacing w:before="0" w:after="80" w:line="259" w:lineRule="auto"/>
      </w:pPr>
      <w:r>
        <w:rPr>
          <w:rFonts w:ascii="Inter" w:hAnsi="Inter" w:eastAsia="Inter"/>
          <w:color w:val="20242A"/>
          <w:sz w:val="18"/>
        </w:rPr>
        <w:t>No bpmn-js business logic embedded inside domain algorithms.</w:t>
      </w:r>
    </w:p>
    <w:p>
      <w:pPr>
        <w:pStyle w:val="ListBullet"/>
        <w:spacing w:before="0" w:after="80" w:line="259" w:lineRule="auto"/>
      </w:pPr>
      <w:r>
        <w:rPr>
          <w:rFonts w:ascii="Inter" w:hAnsi="Inter" w:eastAsia="Inter"/>
          <w:color w:val="20242A"/>
          <w:sz w:val="18"/>
        </w:rPr>
        <w:t>No chart-specific data shape persisted as source-of-truth domain data.</w:t>
      </w:r>
    </w:p>
    <w:p>
      <w:pPr>
        <w:pStyle w:val="ListBullet"/>
        <w:spacing w:before="0" w:after="80" w:line="259" w:lineRule="auto"/>
      </w:pPr>
      <w:r>
        <w:rPr>
          <w:rFonts w:ascii="Inter" w:hAnsi="Inter" w:eastAsia="Inter"/>
          <w:color w:val="20242A"/>
          <w:sz w:val="18"/>
        </w:rPr>
        <w:t>Feature modules own their UI and integration tests; shared abstractions require evidence of reuse.</w:t>
      </w:r>
    </w:p>
    <w:p>
      <w:pPr>
        <w:pStyle w:val="ListBullet"/>
        <w:spacing w:before="0" w:after="80" w:line="259" w:lineRule="auto"/>
      </w:pPr>
      <w:r>
        <w:rPr>
          <w:rFonts w:ascii="Inter" w:hAnsi="Inter" w:eastAsia="Inter"/>
          <w:color w:val="20242A"/>
          <w:sz w:val="18"/>
        </w:rPr>
        <w:t>Architecture Decision Records (ADRs) capture decisions that affect domain semantics, persistence format, worker protocol or deployment model.</w:t>
      </w:r>
    </w:p>
    <w:p>
      <w:pPr>
        <w:pStyle w:val="ListBullet"/>
        <w:spacing w:before="0" w:after="80" w:line="259" w:lineRule="auto"/>
      </w:pPr>
      <w:r>
        <w:rPr>
          <w:rFonts w:ascii="Inter" w:hAnsi="Inter" w:eastAsia="Inter"/>
          <w:color w:val="20242A"/>
          <w:sz w:val="18"/>
        </w:rPr>
        <w:t>Definition of Done includes tests, accessibility review for changed flows, error states and release-note impact.</w:t>
      </w:r>
    </w:p>
    <w:p>
      <w:pPr>
        <w:pStyle w:val="Heading1"/>
        <w:keepNext/>
        <w:spacing w:before="200" w:after="80" w:line="269" w:lineRule="auto"/>
      </w:pPr>
      <w:r>
        <w:rPr>
          <w:rFonts w:ascii="Inter Display" w:hAnsi="Inter Display" w:eastAsia="Inter Display"/>
          <w:b/>
          <w:color w:val="B87333"/>
          <w:sz w:val="22"/>
        </w:rPr>
        <w:t>20</w:t>
      </w:r>
      <w:r>
        <w:rPr>
          <w:rFonts w:ascii="Inter Display" w:hAnsi="Inter Display" w:eastAsia="Inter Display"/>
          <w:b/>
          <w:color w:val="5A0F1A"/>
          <w:sz w:val="36"/>
        </w:rPr>
        <w:t xml:space="preserve">  Development Roadmap and Milestones</w:t>
      </w:r>
    </w:p>
    <w:p>
      <w:pPr>
        <w:spacing w:before="0" w:after="140" w:line="269" w:lineRule="auto"/>
      </w:pPr>
      <w:r>
        <w:rPr>
          <w:rFonts w:ascii="Inter" w:hAnsi="Inter" w:eastAsia="Inter"/>
          <w:i/>
          <w:color w:val="667085"/>
          <w:sz w:val="18"/>
        </w:rPr>
        <w:t>A staged delivery path that makes risk visible early and prevents UI polish from hiding simulation uncertainty.</w:t>
      </w:r>
    </w:p>
    <w:p>
      <w:pPr>
        <w:spacing w:before="0" w:after="140" w:line="269" w:lineRule="auto"/>
        <w:pBdr>
          <w:bottom w:val="single" w:sz="7" w:space="1" w:color="C9B2B5"/>
        </w:pBdr>
      </w:pPr>
    </w:p>
    <w:tbl>
      <w:tblPr>
        <w:tblStyle w:val="TableGrid"/>
        <w:tblW w:type="auto" w:w="0"/>
        <w:jc w:val="center"/>
        <w:tblLook w:firstColumn="1" w:firstRow="1" w:lastColumn="0" w:lastRow="0" w:noHBand="0" w:noVBand="1" w:val="04A0"/>
      </w:tblPr>
      <w:tblGrid>
        <w:gridCol w:w="2523"/>
        <w:gridCol w:w="2523"/>
        <w:gridCol w:w="2523"/>
        <w:gridCol w:w="2523"/>
      </w:tblGrid>
      <w:tr>
        <w:trPr>
          <w:tblHeader w:val="true"/>
        </w:trPr>
        <w:tc>
          <w:tcPr>
            <w:tcW w:type="dxa" w:w="680"/>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Phase</w:t>
            </w:r>
          </w:p>
        </w:tc>
        <w:tc>
          <w:tcPr>
            <w:tcW w:type="dxa" w:w="1814"/>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Milestone</w:t>
            </w:r>
          </w:p>
        </w:tc>
        <w:tc>
          <w:tcPr>
            <w:tcW w:type="dxa" w:w="4025"/>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Primary deliverables</w:t>
            </w:r>
          </w:p>
        </w:tc>
        <w:tc>
          <w:tcPr>
            <w:tcW w:type="dxa" w:w="2835"/>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Exit criterion</w:t>
            </w:r>
          </w:p>
        </w:tc>
      </w:tr>
      <w:tr>
        <w:trPr>
          <w:cantSplit/>
        </w:trPr>
        <w:tc>
          <w:tcPr>
            <w:tcW w:type="dxa" w:w="68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0</w:t>
            </w:r>
          </w:p>
        </w:tc>
        <w:tc>
          <w:tcPr>
            <w:tcW w:type="dxa" w:w="1814"/>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Foundation</w:t>
            </w:r>
          </w:p>
        </w:tc>
        <w:tc>
          <w:tcPr>
            <w:tcW w:type="dxa" w:w="4025"/>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Project bootstrap, brand/design tokens, static export, quality tooling, CI gates</w:t>
            </w:r>
          </w:p>
        </w:tc>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Static production build; architecture skeleton</w:t>
            </w:r>
          </w:p>
        </w:tc>
      </w:tr>
      <w:tr>
        <w:trPr>
          <w:cantSplit/>
        </w:trPr>
        <w:tc>
          <w:tcPr>
            <w:tcW w:type="dxa" w:w="68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1</w:t>
            </w:r>
          </w:p>
        </w:tc>
        <w:tc>
          <w:tcPr>
            <w:tcW w:type="dxa" w:w="1814"/>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Workspace &amp; persistence</w:t>
            </w:r>
          </w:p>
        </w:tc>
        <w:tc>
          <w:tcPr>
            <w:tcW w:type="dxa" w:w="4025"/>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Project lifecycle, Dexie schema, templates, autosave, migrations</w:t>
            </w:r>
          </w:p>
        </w:tc>
        <w:tc>
          <w:tcPr>
            <w:tcW w:type="dxa" w:w="2835"/>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Projects survive reload and can be exported conceptually</w:t>
            </w:r>
          </w:p>
        </w:tc>
      </w:tr>
      <w:tr>
        <w:trPr>
          <w:cantSplit/>
        </w:trPr>
        <w:tc>
          <w:tcPr>
            <w:tcW w:type="dxa" w:w="68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2</w:t>
            </w:r>
          </w:p>
        </w:tc>
        <w:tc>
          <w:tcPr>
            <w:tcW w:type="dxa" w:w="1814"/>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Modeling shell</w:t>
            </w:r>
          </w:p>
        </w:tc>
        <w:tc>
          <w:tcPr>
            <w:tcW w:type="dxa" w:w="4025"/>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bpmn-js integration, supported-element policy, properties inspector, BPMN I/O</w:t>
            </w:r>
          </w:p>
        </w:tc>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Supported process can be authored end-to-end</w:t>
            </w:r>
          </w:p>
        </w:tc>
      </w:tr>
      <w:tr>
        <w:trPr>
          <w:cantSplit/>
        </w:trPr>
        <w:tc>
          <w:tcPr>
            <w:tcW w:type="dxa" w:w="68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3</w:t>
            </w:r>
          </w:p>
        </w:tc>
        <w:tc>
          <w:tcPr>
            <w:tcW w:type="dxa" w:w="1814"/>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Domain simulation engine</w:t>
            </w:r>
          </w:p>
        </w:tc>
        <w:tc>
          <w:tcPr>
            <w:tcW w:type="dxa" w:w="4025"/>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Internal graph, distributions, seeded PRNG, exclusive routing, aggregation</w:t>
            </w:r>
          </w:p>
        </w:tc>
        <w:tc>
          <w:tcPr>
            <w:tcW w:type="dxa" w:w="2835"/>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Engine runs independently of React and passes deterministic tests</w:t>
            </w:r>
          </w:p>
        </w:tc>
      </w:tr>
      <w:tr>
        <w:trPr>
          <w:cantSplit/>
        </w:trPr>
        <w:tc>
          <w:tcPr>
            <w:tcW w:type="dxa" w:w="68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4</w:t>
            </w:r>
          </w:p>
        </w:tc>
        <w:tc>
          <w:tcPr>
            <w:tcW w:type="dxa" w:w="1814"/>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Worker execution</w:t>
            </w:r>
          </w:p>
        </w:tc>
        <w:tc>
          <w:tcPr>
            <w:tcW w:type="dxa" w:w="4025"/>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Typed worker protocol, progress, cancellation, error handling</w:t>
            </w:r>
          </w:p>
        </w:tc>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10k reference run leaves UI responsive</w:t>
            </w:r>
          </w:p>
        </w:tc>
      </w:tr>
      <w:tr>
        <w:trPr>
          <w:cantSplit/>
        </w:trPr>
        <w:tc>
          <w:tcPr>
            <w:tcW w:type="dxa" w:w="68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5</w:t>
            </w:r>
          </w:p>
        </w:tc>
        <w:tc>
          <w:tcPr>
            <w:tcW w:type="dxa" w:w="1814"/>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Simulation UX</w:t>
            </w:r>
          </w:p>
        </w:tc>
        <w:tc>
          <w:tcPr>
            <w:tcW w:type="dxa" w:w="4025"/>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Configuration, validation, run lifecycle and result history</w:t>
            </w:r>
          </w:p>
        </w:tc>
        <w:tc>
          <w:tcPr>
            <w:tcW w:type="dxa" w:w="2835"/>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Template → validated run works end-to-end</w:t>
            </w:r>
          </w:p>
        </w:tc>
      </w:tr>
      <w:tr>
        <w:trPr>
          <w:cantSplit/>
        </w:trPr>
        <w:tc>
          <w:tcPr>
            <w:tcW w:type="dxa" w:w="68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6</w:t>
            </w:r>
          </w:p>
        </w:tc>
        <w:tc>
          <w:tcPr>
            <w:tcW w:type="dxa" w:w="1814"/>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Analytics</w:t>
            </w:r>
          </w:p>
        </w:tc>
        <w:tc>
          <w:tcPr>
            <w:tcW w:type="dxa" w:w="4025"/>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KPIs, percentiles, histogram, task/path contribution, bottleneck ranking</w:t>
            </w:r>
          </w:p>
        </w:tc>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User can explain why process is slow/risky</w:t>
            </w:r>
          </w:p>
        </w:tc>
      </w:tr>
      <w:tr>
        <w:trPr>
          <w:cantSplit/>
        </w:trPr>
        <w:tc>
          <w:tcPr>
            <w:tcW w:type="dxa" w:w="68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7</w:t>
            </w:r>
          </w:p>
        </w:tc>
        <w:tc>
          <w:tcPr>
            <w:tcW w:type="dxa" w:w="1814"/>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Scenario comparison</w:t>
            </w:r>
          </w:p>
        </w:tc>
        <w:tc>
          <w:tcPr>
            <w:tcW w:type="dxa" w:w="4025"/>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Baseline/proposed lifecycle, stale-result detection, deltas</w:t>
            </w:r>
          </w:p>
        </w:tc>
        <w:tc>
          <w:tcPr>
            <w:tcW w:type="dxa" w:w="2835"/>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User can quantify whether a proposal improves outcomes</w:t>
            </w:r>
          </w:p>
        </w:tc>
      </w:tr>
      <w:tr>
        <w:trPr>
          <w:cantSplit/>
        </w:trPr>
        <w:tc>
          <w:tcPr>
            <w:tcW w:type="dxa" w:w="68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8</w:t>
            </w:r>
          </w:p>
        </w:tc>
        <w:tc>
          <w:tcPr>
            <w:tcW w:type="dxa" w:w="1814"/>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Reporting &amp; portability</w:t>
            </w:r>
          </w:p>
        </w:tc>
        <w:tc>
          <w:tcPr>
            <w:tcW w:type="dxa" w:w="4025"/>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Project package, import validation, print report, diagram export</w:t>
            </w:r>
          </w:p>
        </w:tc>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Project can be moved and findings presented without cloud</w:t>
            </w:r>
          </w:p>
        </w:tc>
      </w:tr>
      <w:tr>
        <w:trPr>
          <w:cantSplit/>
        </w:trPr>
        <w:tc>
          <w:tcPr>
            <w:tcW w:type="dxa" w:w="68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9</w:t>
            </w:r>
          </w:p>
        </w:tc>
        <w:tc>
          <w:tcPr>
            <w:tcW w:type="dxa" w:w="1814"/>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Production hardening</w:t>
            </w:r>
          </w:p>
        </w:tc>
        <w:tc>
          <w:tcPr>
            <w:tcW w:type="dxa" w:w="4025"/>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A11y, cross-browser, performance, security/license audits, error recovery</w:t>
            </w:r>
          </w:p>
        </w:tc>
        <w:tc>
          <w:tcPr>
            <w:tcW w:type="dxa" w:w="2835"/>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Release candidate passes quality gates</w:t>
            </w:r>
          </w:p>
        </w:tc>
      </w:tr>
      <w:tr>
        <w:trPr>
          <w:cantSplit/>
        </w:trPr>
        <w:tc>
          <w:tcPr>
            <w:tcW w:type="dxa" w:w="68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10</w:t>
            </w:r>
          </w:p>
        </w:tc>
        <w:tc>
          <w:tcPr>
            <w:tcW w:type="dxa" w:w="1814"/>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Portfolio launch</w:t>
            </w:r>
          </w:p>
        </w:tc>
        <w:tc>
          <w:tcPr>
            <w:tcW w:type="dxa" w:w="4025"/>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Curated demos, product narrative, polished seed projects, deployment</w:t>
            </w:r>
          </w:p>
        </w:tc>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Client-ready public demonstration</w:t>
            </w:r>
          </w:p>
        </w:tc>
      </w:tr>
    </w:tbl>
    <w:p>
      <w:pPr>
        <w:spacing w:after="0"/>
      </w:pPr>
    </w:p>
    <w:p>
      <w:pPr>
        <w:pStyle w:val="Heading2"/>
        <w:keepNext/>
        <w:spacing w:before="140" w:after="60" w:line="269" w:lineRule="auto"/>
      </w:pPr>
      <w:r>
        <w:rPr>
          <w:rFonts w:ascii="Inter Display" w:hAnsi="Inter Display" w:eastAsia="Inter Display"/>
          <w:b/>
          <w:color w:val="7B0F22"/>
          <w:sz w:val="23"/>
        </w:rPr>
        <w:t>Recommended execution strategy</w:t>
      </w:r>
    </w:p>
    <w:p>
      <w:pPr>
        <w:pStyle w:val="BodyText"/>
        <w:spacing w:before="0" w:after="100" w:line="269" w:lineRule="auto"/>
      </w:pPr>
      <w:r>
        <w:rPr>
          <w:rFonts w:ascii="Inter" w:hAnsi="Inter" w:eastAsia="Inter"/>
          <w:i w:val="0"/>
          <w:color w:val="20242A"/>
        </w:rPr>
        <w:t>Build the simulation domain before investing heavily in analytics decoration. A visually impressive dashboard built on ambiguous process semantics creates rework. Conversely, a tested engine with thin UI can be progressively polished without changing its mathematical behavior.</w:t>
      </w:r>
    </w:p>
    <w:tbl>
      <w:tblPr>
        <w:tblW w:type="auto" w:w="0"/>
        <w:jc w:val="center"/>
        <w:tblLayout w:type="autofit"/>
        <w:tblLook w:firstColumn="1" w:firstRow="1" w:lastColumn="0" w:lastRow="0" w:noHBand="0" w:noVBand="1" w:val="04A0"/>
      </w:tblPr>
      <w:tblGrid>
        <w:gridCol w:w="10092"/>
      </w:tblGrid>
      <w:tr>
        <w:trPr>
          <w:cantSplit/>
        </w:trPr>
        <w:tc>
          <w:tcPr>
            <w:tcW w:type="dxa" w:w="10092"/>
            <w:shd w:fill="FBF7EE"/>
            <w:tcMar>
              <w:top w:w="120" w:type="dxa"/>
              <w:start w:w="180" w:type="dxa"/>
              <w:bottom w:w="120" w:type="dxa"/>
              <w:end w:w="180" w:type="dxa"/>
            </w:tcMar>
            <w:tcBorders>
              <w:top w:val="nil"/>
              <w:left w:val="single" w:sz="20" w:color="B87333"/>
              <w:bottom w:val="nil"/>
              <w:right w:val="nil"/>
            </w:tcBorders>
          </w:tcPr>
          <w:p>
            <w:pPr>
              <w:spacing w:before="0" w:after="60" w:line="269" w:lineRule="auto"/>
            </w:pPr>
            <w:r>
              <w:rPr>
                <w:rFonts w:ascii="Inter" w:hAnsi="Inter" w:eastAsia="Inter"/>
                <w:b/>
                <w:color w:val="B87333"/>
                <w:sz w:val="16"/>
              </w:rPr>
              <w:t>MILESTONE DISCIPLINE</w:t>
            </w:r>
          </w:p>
          <w:p>
            <w:pPr>
              <w:spacing w:before="0" w:after="0" w:line="269" w:lineRule="auto"/>
            </w:pPr>
            <w:r>
              <w:rPr>
                <w:rFonts w:ascii="Inter" w:hAnsi="Inter" w:eastAsia="Inter"/>
                <w:color w:val="20242A"/>
                <w:sz w:val="18"/>
              </w:rPr>
              <w:t>Every phase should end with a demonstrable vertical slice or an independently testable capability. Avoid “90% complete” phases whose only remaining work is integration.</w:t>
            </w:r>
          </w:p>
        </w:tc>
      </w:tr>
    </w:tbl>
    <w:p>
      <w:pPr>
        <w:spacing w:after="0"/>
      </w:pPr>
    </w:p>
    <w:p>
      <w:pPr>
        <w:pStyle w:val="Heading1"/>
        <w:keepNext/>
        <w:spacing w:before="200" w:after="80" w:line="269" w:lineRule="auto"/>
      </w:pPr>
      <w:r>
        <w:rPr>
          <w:rFonts w:ascii="Inter Display" w:hAnsi="Inter Display" w:eastAsia="Inter Display"/>
          <w:b/>
          <w:color w:val="B87333"/>
          <w:sz w:val="22"/>
        </w:rPr>
        <w:t>21</w:t>
      </w:r>
      <w:r>
        <w:rPr>
          <w:rFonts w:ascii="Inter Display" w:hAnsi="Inter Display" w:eastAsia="Inter Display"/>
          <w:b/>
          <w:color w:val="5A0F1A"/>
          <w:sz w:val="36"/>
        </w:rPr>
        <w:t xml:space="preserve">  MVP Definition</w:t>
      </w:r>
    </w:p>
    <w:p>
      <w:pPr>
        <w:spacing w:before="0" w:after="140" w:line="269" w:lineRule="auto"/>
      </w:pPr>
      <w:r>
        <w:rPr>
          <w:rFonts w:ascii="Inter" w:hAnsi="Inter" w:eastAsia="Inter"/>
          <w:i/>
          <w:color w:val="667085"/>
          <w:sz w:val="18"/>
        </w:rPr>
        <w:t>The smallest release that credibly demonstrates the full AridentFlow product promise.</w:t>
      </w:r>
    </w:p>
    <w:p>
      <w:pPr>
        <w:spacing w:before="0" w:after="140" w:line="269" w:lineRule="auto"/>
        <w:pBdr>
          <w:bottom w:val="single" w:sz="7" w:space="1" w:color="C9B2B5"/>
        </w:pBdr>
      </w:pPr>
    </w:p>
    <w:p>
      <w:pPr>
        <w:pStyle w:val="Heading2"/>
        <w:keepNext/>
        <w:spacing w:before="140" w:after="60" w:line="269" w:lineRule="auto"/>
      </w:pPr>
      <w:r>
        <w:rPr>
          <w:rFonts w:ascii="Inter Display" w:hAnsi="Inter Display" w:eastAsia="Inter Display"/>
          <w:b/>
          <w:color w:val="7B0F22"/>
          <w:sz w:val="23"/>
        </w:rPr>
        <w:t>MVP must include</w:t>
      </w:r>
    </w:p>
    <w:tbl>
      <w:tblPr>
        <w:tblStyle w:val="TableGrid"/>
        <w:tblW w:type="auto" w:w="0"/>
        <w:jc w:val="center"/>
        <w:tblLook w:firstColumn="1" w:firstRow="1" w:lastColumn="0" w:lastRow="0" w:noHBand="0" w:noVBand="1" w:val="04A0"/>
      </w:tblPr>
      <w:tblGrid>
        <w:gridCol w:w="5046"/>
        <w:gridCol w:w="5046"/>
      </w:tblGrid>
      <w:tr>
        <w:trPr>
          <w:tblHeader w:val="true"/>
        </w:trPr>
        <w:tc>
          <w:tcPr>
            <w:tcW w:type="dxa" w:w="2268"/>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Capability</w:t>
            </w:r>
          </w:p>
        </w:tc>
        <w:tc>
          <w:tcPr>
            <w:tcW w:type="dxa" w:w="7087"/>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MVP acceptance boundary</w:t>
            </w:r>
          </w:p>
        </w:tc>
      </w:tr>
      <w:tr>
        <w:trPr>
          <w:cantSplit/>
        </w:trPr>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Workspace</w:t>
            </w:r>
          </w:p>
        </w:tc>
        <w:tc>
          <w:tcPr>
            <w:tcW w:type="dxa" w:w="7087"/>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Local project lifecycle + at least three polished templates.</w:t>
            </w:r>
          </w:p>
        </w:tc>
      </w:tr>
      <w:tr>
        <w:trPr>
          <w:cantSplit/>
        </w:trPr>
        <w:tc>
          <w:tcPr>
            <w:tcW w:type="dxa" w:w="2268"/>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Modeling</w:t>
            </w:r>
          </w:p>
        </w:tc>
        <w:tc>
          <w:tcPr>
            <w:tcW w:type="dxa" w:w="7087"/>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Supported BPMN-oriented elements sufficient for realistic sequential and branching processes.</w:t>
            </w:r>
          </w:p>
        </w:tc>
      </w:tr>
      <w:tr>
        <w:trPr>
          <w:cantSplit/>
        </w:trPr>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Configuration</w:t>
            </w:r>
          </w:p>
        </w:tc>
        <w:tc>
          <w:tcPr>
            <w:tcW w:type="dxa" w:w="7087"/>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Fixed, uniform and triangular durations; cost; SLA; gateway probability; run count; seed.</w:t>
            </w:r>
          </w:p>
        </w:tc>
      </w:tr>
      <w:tr>
        <w:trPr>
          <w:cantSplit/>
        </w:trPr>
        <w:tc>
          <w:tcPr>
            <w:tcW w:type="dxa" w:w="2268"/>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Validation</w:t>
            </w:r>
          </w:p>
        </w:tc>
        <w:tc>
          <w:tcPr>
            <w:tcW w:type="dxa" w:w="7087"/>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Structural and simulation-readiness errors that prevent incorrect execution.</w:t>
            </w:r>
          </w:p>
        </w:tc>
      </w:tr>
      <w:tr>
        <w:trPr>
          <w:cantSplit/>
        </w:trPr>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Simulation</w:t>
            </w:r>
          </w:p>
        </w:tc>
        <w:tc>
          <w:tcPr>
            <w:tcW w:type="dxa" w:w="7087"/>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Seeded Monte Carlo execution in a Web Worker with progress and cancellation.</w:t>
            </w:r>
          </w:p>
        </w:tc>
      </w:tr>
      <w:tr>
        <w:trPr>
          <w:cantSplit/>
        </w:trPr>
        <w:tc>
          <w:tcPr>
            <w:tcW w:type="dxa" w:w="2268"/>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Analytics</w:t>
            </w:r>
          </w:p>
        </w:tc>
        <w:tc>
          <w:tcPr>
            <w:tcW w:type="dxa" w:w="7087"/>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Cycle time, P50/P90/P95, cost, SLA, task contribution, branch/path frequency and bottleneck ranking.</w:t>
            </w:r>
          </w:p>
        </w:tc>
      </w:tr>
      <w:tr>
        <w:trPr>
          <w:cantSplit/>
        </w:trPr>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Scenarios</w:t>
            </w:r>
          </w:p>
        </w:tc>
        <w:tc>
          <w:tcPr>
            <w:tcW w:type="dxa" w:w="7087"/>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Baseline/proposed duplication and side-by-side delta analysis.</w:t>
            </w:r>
          </w:p>
        </w:tc>
      </w:tr>
      <w:tr>
        <w:trPr>
          <w:cantSplit/>
        </w:trPr>
        <w:tc>
          <w:tcPr>
            <w:tcW w:type="dxa" w:w="2268"/>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Persistence</w:t>
            </w:r>
          </w:p>
        </w:tc>
        <w:tc>
          <w:tcPr>
            <w:tcW w:type="dxa" w:w="7087"/>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IndexedDB autosave + versioned schema.</w:t>
            </w:r>
          </w:p>
        </w:tc>
      </w:tr>
      <w:tr>
        <w:trPr>
          <w:cantSplit/>
        </w:trPr>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Portability</w:t>
            </w:r>
          </w:p>
        </w:tc>
        <w:tc>
          <w:tcPr>
            <w:tcW w:type="dxa" w:w="7087"/>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AridentFlow export/import + BPMN import/export.</w:t>
            </w:r>
          </w:p>
        </w:tc>
      </w:tr>
      <w:tr>
        <w:trPr>
          <w:cantSplit/>
        </w:trPr>
        <w:tc>
          <w:tcPr>
            <w:tcW w:type="dxa" w:w="2268"/>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Reporting</w:t>
            </w:r>
          </w:p>
        </w:tc>
        <w:tc>
          <w:tcPr>
            <w:tcW w:type="dxa" w:w="7087"/>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Print-ready executive summary.</w:t>
            </w:r>
          </w:p>
        </w:tc>
      </w:tr>
      <w:tr>
        <w:trPr>
          <w:cantSplit/>
        </w:trPr>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Quality</w:t>
            </w:r>
          </w:p>
        </w:tc>
        <w:tc>
          <w:tcPr>
            <w:tcW w:type="dxa" w:w="7087"/>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Critical E2E workflows, high domain coverage, accessibility checks and performance benchmark.</w:t>
            </w:r>
          </w:p>
        </w:tc>
      </w:tr>
    </w:tbl>
    <w:p>
      <w:pPr>
        <w:spacing w:after="0"/>
      </w:pPr>
    </w:p>
    <w:p>
      <w:pPr>
        <w:pStyle w:val="Heading2"/>
        <w:keepNext/>
        <w:spacing w:before="140" w:after="60" w:line="269" w:lineRule="auto"/>
      </w:pPr>
      <w:r>
        <w:rPr>
          <w:rFonts w:ascii="Inter Display" w:hAnsi="Inter Display" w:eastAsia="Inter Display"/>
          <w:b/>
          <w:color w:val="7B0F22"/>
          <w:sz w:val="23"/>
        </w:rPr>
        <w:t>MVP deliberately excludes</w:t>
      </w:r>
    </w:p>
    <w:p>
      <w:pPr>
        <w:pStyle w:val="ListBullet"/>
        <w:spacing w:before="0" w:after="48" w:line="259" w:lineRule="auto"/>
      </w:pPr>
      <w:r>
        <w:rPr>
          <w:rFonts w:ascii="Inter" w:hAnsi="Inter" w:eastAsia="Inter"/>
          <w:color w:val="20242A"/>
          <w:sz w:val="18"/>
        </w:rPr>
        <w:t>Authentication and cloud sync.</w:t>
      </w:r>
    </w:p>
    <w:p>
      <w:pPr>
        <w:pStyle w:val="ListBullet"/>
        <w:spacing w:before="0" w:after="48" w:line="259" w:lineRule="auto"/>
      </w:pPr>
      <w:r>
        <w:rPr>
          <w:rFonts w:ascii="Inter" w:hAnsi="Inter" w:eastAsia="Inter"/>
          <w:color w:val="20242A"/>
          <w:sz w:val="18"/>
        </w:rPr>
        <w:t>Process mining.</w:t>
      </w:r>
    </w:p>
    <w:p>
      <w:pPr>
        <w:pStyle w:val="ListBullet"/>
        <w:spacing w:before="0" w:after="48" w:line="259" w:lineRule="auto"/>
      </w:pPr>
      <w:r>
        <w:rPr>
          <w:rFonts w:ascii="Inter" w:hAnsi="Inter" w:eastAsia="Inter"/>
          <w:color w:val="20242A"/>
          <w:sz w:val="18"/>
        </w:rPr>
        <w:t>AI/LLM features.</w:t>
      </w:r>
    </w:p>
    <w:p>
      <w:pPr>
        <w:pStyle w:val="ListBullet"/>
        <w:spacing w:before="0" w:after="48" w:line="259" w:lineRule="auto"/>
      </w:pPr>
      <w:r>
        <w:rPr>
          <w:rFonts w:ascii="Inter" w:hAnsi="Inter" w:eastAsia="Inter"/>
          <w:color w:val="20242A"/>
          <w:sz w:val="18"/>
        </w:rPr>
        <w:t>Full resource-capacity/queueing simulation.</w:t>
      </w:r>
    </w:p>
    <w:p>
      <w:pPr>
        <w:pStyle w:val="ListBullet"/>
        <w:spacing w:before="0" w:after="48" w:line="259" w:lineRule="auto"/>
      </w:pPr>
      <w:r>
        <w:rPr>
          <w:rFonts w:ascii="Inter" w:hAnsi="Inter" w:eastAsia="Inter"/>
          <w:color w:val="20242A"/>
          <w:sz w:val="18"/>
        </w:rPr>
        <w:t>Real-time collaboration.</w:t>
      </w:r>
    </w:p>
    <w:p>
      <w:pPr>
        <w:pStyle w:val="ListBullet"/>
        <w:spacing w:before="0" w:after="48" w:line="259" w:lineRule="auto"/>
      </w:pPr>
      <w:r>
        <w:rPr>
          <w:rFonts w:ascii="Inter" w:hAnsi="Inter" w:eastAsia="Inter"/>
          <w:color w:val="20242A"/>
          <w:sz w:val="18"/>
        </w:rPr>
        <w:t>Enterprise connectors.</w:t>
      </w:r>
    </w:p>
    <w:p>
      <w:pPr>
        <w:pStyle w:val="ListBullet"/>
        <w:spacing w:before="0" w:after="48" w:line="259" w:lineRule="auto"/>
      </w:pPr>
      <w:r>
        <w:rPr>
          <w:rFonts w:ascii="Inter" w:hAnsi="Inter" w:eastAsia="Inter"/>
          <w:color w:val="20242A"/>
          <w:sz w:val="18"/>
        </w:rPr>
        <w:t>Paid or usage-metered third-party services.</w:t>
      </w:r>
    </w:p>
    <w:p>
      <w:pPr>
        <w:pStyle w:val="Heading2"/>
        <w:keepNext/>
        <w:spacing w:before="140" w:after="60" w:line="269" w:lineRule="auto"/>
      </w:pPr>
      <w:r>
        <w:rPr>
          <w:rFonts w:ascii="Inter Display" w:hAnsi="Inter Display" w:eastAsia="Inter Display"/>
          <w:b/>
          <w:color w:val="7B0F22"/>
          <w:sz w:val="23"/>
        </w:rPr>
        <w:t>Recommended demo templates</w:t>
      </w: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2381"/>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Template</w:t>
            </w:r>
          </w:p>
        </w:tc>
        <w:tc>
          <w:tcPr>
            <w:tcW w:type="dxa" w:w="4422"/>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Story</w:t>
            </w:r>
          </w:p>
        </w:tc>
        <w:tc>
          <w:tcPr>
            <w:tcW w:type="dxa" w:w="2551"/>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Demonstrated capability</w:t>
            </w:r>
          </w:p>
        </w:tc>
      </w:tr>
      <w:tr>
        <w:trPr>
          <w:cantSplit/>
        </w:trPr>
        <w:tc>
          <w:tcPr>
            <w:tcW w:type="dxa" w:w="238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Purchase Approval</w:t>
            </w:r>
          </w:p>
        </w:tc>
        <w:tc>
          <w:tcPr>
            <w:tcW w:type="dxa" w:w="4422"/>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Low-value approvals breach a 24-hour SLA; automate a branch and compare.</w:t>
            </w:r>
          </w:p>
        </w:tc>
        <w:tc>
          <w:tcPr>
            <w:tcW w:type="dxa" w:w="255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Gateway probability, SLA, scenario comparison</w:t>
            </w:r>
          </w:p>
        </w:tc>
      </w:tr>
      <w:tr>
        <w:trPr>
          <w:cantSplit/>
        </w:trPr>
        <w:tc>
          <w:tcPr>
            <w:tcW w:type="dxa" w:w="2381"/>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Employee Onboarding</w:t>
            </w:r>
          </w:p>
        </w:tc>
        <w:tc>
          <w:tcPr>
            <w:tcW w:type="dxa" w:w="4422"/>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Multiple activities contribute to time-to-ready.</w:t>
            </w:r>
          </w:p>
        </w:tc>
        <w:tc>
          <w:tcPr>
            <w:tcW w:type="dxa" w:w="2551"/>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Task contribution, cycle-time distribution, future parallel semantics</w:t>
            </w:r>
          </w:p>
        </w:tc>
      </w:tr>
      <w:tr>
        <w:trPr>
          <w:cantSplit/>
        </w:trPr>
        <w:tc>
          <w:tcPr>
            <w:tcW w:type="dxa" w:w="238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Customer Support Escalation</w:t>
            </w:r>
          </w:p>
        </w:tc>
        <w:tc>
          <w:tcPr>
            <w:tcW w:type="dxa" w:w="4422"/>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Escalation paths create high tail latency and cost.</w:t>
            </w:r>
          </w:p>
        </w:tc>
        <w:tc>
          <w:tcPr>
            <w:tcW w:type="dxa" w:w="255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Branch frequency, P95, cost, bottleneck explanation</w:t>
            </w:r>
          </w:p>
        </w:tc>
      </w:tr>
    </w:tbl>
    <w:p>
      <w:pPr>
        <w:spacing w:after="0"/>
      </w:pPr>
    </w:p>
    <w:p>
      <w:pPr>
        <w:pStyle w:val="Heading1"/>
        <w:keepNext/>
        <w:spacing w:before="200" w:after="80" w:line="269" w:lineRule="auto"/>
      </w:pPr>
      <w:r>
        <w:rPr>
          <w:rFonts w:ascii="Inter Display" w:hAnsi="Inter Display" w:eastAsia="Inter Display"/>
          <w:b/>
          <w:color w:val="B87333"/>
          <w:sz w:val="22"/>
        </w:rPr>
        <w:t>22</w:t>
      </w:r>
      <w:r>
        <w:rPr>
          <w:rFonts w:ascii="Inter Display" w:hAnsi="Inter Display" w:eastAsia="Inter Display"/>
          <w:b/>
          <w:color w:val="5A0F1A"/>
          <w:sz w:val="36"/>
        </w:rPr>
        <w:t xml:space="preserve">  Testing Strategy</w:t>
      </w:r>
    </w:p>
    <w:p>
      <w:pPr>
        <w:spacing w:before="0" w:after="140" w:line="269" w:lineRule="auto"/>
      </w:pPr>
      <w:r>
        <w:rPr>
          <w:rFonts w:ascii="Inter" w:hAnsi="Inter" w:eastAsia="Inter"/>
          <w:i/>
          <w:color w:val="667085"/>
          <w:sz w:val="18"/>
        </w:rPr>
        <w:t>Behavioral confidence centered on simulation correctness, data durability and critical user workflows.</w:t>
      </w:r>
    </w:p>
    <w:p>
      <w:pPr>
        <w:spacing w:before="0" w:after="140" w:line="269" w:lineRule="auto"/>
        <w:pBdr>
          <w:bottom w:val="single" w:sz="7" w:space="1" w:color="C9B2B5"/>
        </w:pBdr>
      </w:pP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1814"/>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Test layer</w:t>
            </w:r>
          </w:p>
        </w:tc>
        <w:tc>
          <w:tcPr>
            <w:tcW w:type="dxa" w:w="5272"/>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Primary scope</w:t>
            </w:r>
          </w:p>
        </w:tc>
        <w:tc>
          <w:tcPr>
            <w:tcW w:type="dxa" w:w="2268"/>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Representative tools</w:t>
            </w:r>
          </w:p>
        </w:tc>
      </w:tr>
      <w:tr>
        <w:trPr>
          <w:cantSplit/>
        </w:trPr>
        <w:tc>
          <w:tcPr>
            <w:tcW w:type="dxa" w:w="1814"/>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Unit</w:t>
            </w:r>
          </w:p>
        </w:tc>
        <w:tc>
          <w:tcPr>
            <w:tcW w:type="dxa" w:w="5272"/>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Distributions, seeded random behavior, graph traversal, routing, cost/SLA/percentiles, comparison</w:t>
            </w:r>
          </w:p>
        </w:tc>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Vitest</w:t>
            </w:r>
          </w:p>
        </w:tc>
      </w:tr>
      <w:tr>
        <w:trPr>
          <w:cantSplit/>
        </w:trPr>
        <w:tc>
          <w:tcPr>
            <w:tcW w:type="dxa" w:w="1814"/>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Property-based</w:t>
            </w:r>
          </w:p>
        </w:tc>
        <w:tc>
          <w:tcPr>
            <w:tcW w:type="dxa" w:w="5272"/>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Simulation invariants across generated configuration/process cases</w:t>
            </w:r>
          </w:p>
        </w:tc>
        <w:tc>
          <w:tcPr>
            <w:tcW w:type="dxa" w:w="226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fast-check</w:t>
            </w:r>
          </w:p>
        </w:tc>
      </w:tr>
      <w:tr>
        <w:trPr>
          <w:cantSplit/>
        </w:trPr>
        <w:tc>
          <w:tcPr>
            <w:tcW w:type="dxa" w:w="1814"/>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Persistence</w:t>
            </w:r>
          </w:p>
        </w:tc>
        <w:tc>
          <w:tcPr>
            <w:tcW w:type="dxa" w:w="5272"/>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CRUD, schema migration, recovery, malformed records</w:t>
            </w:r>
          </w:p>
        </w:tc>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Vitest + fake-indexeddb</w:t>
            </w:r>
          </w:p>
        </w:tc>
      </w:tr>
      <w:tr>
        <w:trPr>
          <w:cantSplit/>
        </w:trPr>
        <w:tc>
          <w:tcPr>
            <w:tcW w:type="dxa" w:w="1814"/>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Component</w:t>
            </w:r>
          </w:p>
        </w:tc>
        <w:tc>
          <w:tcPr>
            <w:tcW w:type="dxa" w:w="5272"/>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Inspector fields, validation UX, scenario controls, analytics summaries</w:t>
            </w:r>
          </w:p>
        </w:tc>
        <w:tc>
          <w:tcPr>
            <w:tcW w:type="dxa" w:w="226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Testing Library</w:t>
            </w:r>
          </w:p>
        </w:tc>
      </w:tr>
      <w:tr>
        <w:trPr>
          <w:cantSplit/>
        </w:trPr>
        <w:tc>
          <w:tcPr>
            <w:tcW w:type="dxa" w:w="1814"/>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Integration</w:t>
            </w:r>
          </w:p>
        </w:tc>
        <w:tc>
          <w:tcPr>
            <w:tcW w:type="dxa" w:w="5272"/>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BPMN → domain graph; domain → worker; run → analytics; export → import</w:t>
            </w:r>
          </w:p>
        </w:tc>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Vitest / browser integration tests</w:t>
            </w:r>
          </w:p>
        </w:tc>
      </w:tr>
      <w:tr>
        <w:trPr>
          <w:cantSplit/>
        </w:trPr>
        <w:tc>
          <w:tcPr>
            <w:tcW w:type="dxa" w:w="1814"/>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E2E</w:t>
            </w:r>
          </w:p>
        </w:tc>
        <w:tc>
          <w:tcPr>
            <w:tcW w:type="dxa" w:w="5272"/>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Template → configure → validate → simulate → compare → export/import</w:t>
            </w:r>
          </w:p>
        </w:tc>
        <w:tc>
          <w:tcPr>
            <w:tcW w:type="dxa" w:w="226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Playwright</w:t>
            </w:r>
          </w:p>
        </w:tc>
      </w:tr>
      <w:tr>
        <w:trPr>
          <w:cantSplit/>
        </w:trPr>
        <w:tc>
          <w:tcPr>
            <w:tcW w:type="dxa" w:w="1814"/>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Accessibility</w:t>
            </w:r>
          </w:p>
        </w:tc>
        <w:tc>
          <w:tcPr>
            <w:tcW w:type="dxa" w:w="5272"/>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Automated checks plus keyboard/manual review</w:t>
            </w:r>
          </w:p>
        </w:tc>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axe-core + Playwright + manual</w:t>
            </w:r>
          </w:p>
        </w:tc>
      </w:tr>
      <w:tr>
        <w:trPr>
          <w:cantSplit/>
        </w:trPr>
        <w:tc>
          <w:tcPr>
            <w:tcW w:type="dxa" w:w="1814"/>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Performance</w:t>
            </w:r>
          </w:p>
        </w:tc>
        <w:tc>
          <w:tcPr>
            <w:tcW w:type="dxa" w:w="5272"/>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Reference simulation, memory use, main-thread responsiveness, bundle size</w:t>
            </w:r>
          </w:p>
        </w:tc>
        <w:tc>
          <w:tcPr>
            <w:tcW w:type="dxa" w:w="226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Browser profiling / repeatable benchmark</w:t>
            </w:r>
          </w:p>
        </w:tc>
      </w:tr>
    </w:tbl>
    <w:p>
      <w:pPr>
        <w:spacing w:after="0"/>
      </w:pPr>
    </w:p>
    <w:p>
      <w:pPr>
        <w:pStyle w:val="Heading2"/>
        <w:keepNext/>
        <w:spacing w:before="140" w:after="60" w:line="269" w:lineRule="auto"/>
      </w:pPr>
      <w:r>
        <w:rPr>
          <w:rFonts w:ascii="Inter Display" w:hAnsi="Inter Display" w:eastAsia="Inter Display"/>
          <w:b/>
          <w:color w:val="7B0F22"/>
          <w:sz w:val="23"/>
        </w:rPr>
        <w:t>Critical deterministic tests</w:t>
      </w:r>
    </w:p>
    <w:p>
      <w:pPr>
        <w:pStyle w:val="ListBullet"/>
        <w:spacing w:before="0" w:after="48" w:line="259" w:lineRule="auto"/>
      </w:pPr>
      <w:r>
        <w:rPr>
          <w:rFonts w:ascii="Inter" w:hAnsi="Inter" w:eastAsia="Inter"/>
          <w:color w:val="20242A"/>
          <w:sz w:val="18"/>
        </w:rPr>
        <w:t>Same process + same scenario + same seed + same iteration count produces the same result summary.</w:t>
      </w:r>
    </w:p>
    <w:p>
      <w:pPr>
        <w:pStyle w:val="ListBullet"/>
        <w:spacing w:before="0" w:after="48" w:line="259" w:lineRule="auto"/>
      </w:pPr>
      <w:r>
        <w:rPr>
          <w:rFonts w:ascii="Inter" w:hAnsi="Inter" w:eastAsia="Inter"/>
          <w:color w:val="20242A"/>
          <w:sz w:val="18"/>
        </w:rPr>
        <w:t>Fixed duration processes produce analytically predictable cycle-time outcomes.</w:t>
      </w:r>
    </w:p>
    <w:p>
      <w:pPr>
        <w:pStyle w:val="ListBullet"/>
        <w:spacing w:before="0" w:after="48" w:line="259" w:lineRule="auto"/>
      </w:pPr>
      <w:r>
        <w:rPr>
          <w:rFonts w:ascii="Inter" w:hAnsi="Inter" w:eastAsia="Inter"/>
          <w:color w:val="20242A"/>
          <w:sz w:val="18"/>
        </w:rPr>
        <w:t>Exclusive gateway routing converges within expected statistical tolerance over large sample sizes.</w:t>
      </w:r>
    </w:p>
    <w:p>
      <w:pPr>
        <w:pStyle w:val="ListBullet"/>
        <w:spacing w:before="0" w:after="48" w:line="259" w:lineRule="auto"/>
      </w:pPr>
      <w:r>
        <w:rPr>
          <w:rFonts w:ascii="Inter" w:hAnsi="Inter" w:eastAsia="Inter"/>
          <w:color w:val="20242A"/>
          <w:sz w:val="18"/>
        </w:rPr>
        <w:t>Percentiles and SLA calculations match known fixtures.</w:t>
      </w:r>
    </w:p>
    <w:p>
      <w:pPr>
        <w:pStyle w:val="ListBullet"/>
        <w:spacing w:before="0" w:after="48" w:line="259" w:lineRule="auto"/>
      </w:pPr>
      <w:r>
        <w:rPr>
          <w:rFonts w:ascii="Inter" w:hAnsi="Inter" w:eastAsia="Inter"/>
          <w:color w:val="20242A"/>
          <w:sz w:val="18"/>
        </w:rPr>
        <w:t>Changing a persisted assumption invalidates or marks existing result summaries stale.</w:t>
      </w:r>
    </w:p>
    <w:p>
      <w:pPr>
        <w:pStyle w:val="ListBullet"/>
        <w:spacing w:before="0" w:after="48" w:line="259" w:lineRule="auto"/>
      </w:pPr>
      <w:r>
        <w:rPr>
          <w:rFonts w:ascii="Inter" w:hAnsi="Inter" w:eastAsia="Inter"/>
          <w:color w:val="20242A"/>
          <w:sz w:val="18"/>
        </w:rPr>
        <w:t>Export → import produces an equivalent supported project representation.</w:t>
      </w:r>
    </w:p>
    <w:p>
      <w:pPr>
        <w:pStyle w:val="Heading2"/>
        <w:keepNext/>
        <w:spacing w:before="140" w:after="60" w:line="269" w:lineRule="auto"/>
      </w:pPr>
      <w:r>
        <w:rPr>
          <w:rFonts w:ascii="Inter Display" w:hAnsi="Inter Display" w:eastAsia="Inter Display"/>
          <w:b/>
          <w:color w:val="7B0F22"/>
          <w:sz w:val="23"/>
        </w:rPr>
        <w:t>Coverage targets</w:t>
      </w: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2494"/>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Area</w:t>
            </w:r>
          </w:p>
        </w:tc>
        <w:tc>
          <w:tcPr>
            <w:tcW w:type="dxa" w:w="2268"/>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Target</w:t>
            </w:r>
          </w:p>
        </w:tc>
        <w:tc>
          <w:tcPr>
            <w:tcW w:type="dxa" w:w="4592"/>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Rationale</w:t>
            </w:r>
          </w:p>
        </w:tc>
      </w:tr>
      <w:tr>
        <w:trPr>
          <w:cantSplit/>
        </w:trPr>
        <w:tc>
          <w:tcPr>
            <w:tcW w:type="dxa" w:w="2494"/>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Simulation/domain engine</w:t>
            </w:r>
          </w:p>
        </w:tc>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≥95% line coverage plus branch-focused tests</w:t>
            </w:r>
          </w:p>
        </w:tc>
        <w:tc>
          <w:tcPr>
            <w:tcW w:type="dxa" w:w="4592"/>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Highest correctness risk and easiest layer to test deterministically.</w:t>
            </w:r>
          </w:p>
        </w:tc>
      </w:tr>
      <w:tr>
        <w:trPr>
          <w:cantSplit/>
        </w:trPr>
        <w:tc>
          <w:tcPr>
            <w:tcW w:type="dxa" w:w="2494"/>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Application/use-case layer</w:t>
            </w:r>
          </w:p>
        </w:tc>
        <w:tc>
          <w:tcPr>
            <w:tcW w:type="dxa" w:w="226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≥90%</w:t>
            </w:r>
          </w:p>
        </w:tc>
        <w:tc>
          <w:tcPr>
            <w:tcW w:type="dxa" w:w="4592"/>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Protect orchestration and lifecycle behavior.</w:t>
            </w:r>
          </w:p>
        </w:tc>
      </w:tr>
      <w:tr>
        <w:trPr>
          <w:cantSplit/>
        </w:trPr>
        <w:tc>
          <w:tcPr>
            <w:tcW w:type="dxa" w:w="2494"/>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Overall project</w:t>
            </w:r>
          </w:p>
        </w:tc>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≥80% as a directional target</w:t>
            </w:r>
          </w:p>
        </w:tc>
        <w:tc>
          <w:tcPr>
            <w:tcW w:type="dxa" w:w="4592"/>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Avoid chasing UI coverage at the expense of meaningful behavior.</w:t>
            </w:r>
          </w:p>
        </w:tc>
      </w:tr>
    </w:tbl>
    <w:p>
      <w:pPr>
        <w:spacing w:after="0"/>
      </w:pPr>
    </w:p>
    <w:p>
      <w:pPr>
        <w:pStyle w:val="Heading1"/>
        <w:keepNext/>
        <w:spacing w:before="200" w:after="80" w:line="269" w:lineRule="auto"/>
      </w:pPr>
      <w:r>
        <w:rPr>
          <w:rFonts w:ascii="Inter Display" w:hAnsi="Inter Display" w:eastAsia="Inter Display"/>
          <w:b/>
          <w:color w:val="B87333"/>
          <w:sz w:val="22"/>
        </w:rPr>
        <w:t>23</w:t>
      </w:r>
      <w:r>
        <w:rPr>
          <w:rFonts w:ascii="Inter Display" w:hAnsi="Inter Display" w:eastAsia="Inter Display"/>
          <w:b/>
          <w:color w:val="5A0F1A"/>
          <w:sz w:val="36"/>
        </w:rPr>
        <w:t xml:space="preserve">  Deployment Strategy</w:t>
      </w:r>
    </w:p>
    <w:p>
      <w:pPr>
        <w:spacing w:before="0" w:after="140" w:line="269" w:lineRule="auto"/>
      </w:pPr>
      <w:r>
        <w:rPr>
          <w:rFonts w:ascii="Inter" w:hAnsi="Inter" w:eastAsia="Inter"/>
          <w:i/>
          <w:color w:val="667085"/>
          <w:sz w:val="18"/>
        </w:rPr>
        <w:t>Static-first deployment with no mandatory application server.</w:t>
      </w:r>
    </w:p>
    <w:p>
      <w:pPr>
        <w:spacing w:before="0" w:after="140" w:line="269" w:lineRule="auto"/>
        <w:pBdr>
          <w:bottom w:val="single" w:sz="7" w:space="1" w:color="C9B2B5"/>
        </w:pBdr>
      </w:pPr>
    </w:p>
    <w:p>
      <w:pPr>
        <w:pStyle w:val="Heading2"/>
        <w:keepNext/>
        <w:spacing w:before="140" w:after="60" w:line="269" w:lineRule="auto"/>
      </w:pPr>
      <w:r>
        <w:rPr>
          <w:rFonts w:ascii="Inter Display" w:hAnsi="Inter Display" w:eastAsia="Inter Display"/>
          <w:b/>
          <w:color w:val="7B0F22"/>
          <w:sz w:val="23"/>
        </w:rPr>
        <w:t>Build model</w:t>
      </w:r>
    </w:p>
    <w:p>
      <w:pPr>
        <w:pStyle w:val="BodyText"/>
        <w:spacing w:before="0" w:after="100" w:line="269" w:lineRule="auto"/>
      </w:pPr>
      <w:r>
        <w:rPr>
          <w:rFonts w:ascii="Inter" w:hAnsi="Inter" w:eastAsia="Inter"/>
          <w:i w:val="0"/>
          <w:color w:val="20242A"/>
        </w:rPr>
        <w:t>Use Next.js static export so the production artifact is HTML, CSS, JavaScript and static assets. The core application does not require a long-running Node.js server, database service or API runtime.</w:t>
      </w:r>
    </w:p>
    <w:p>
      <w:pPr>
        <w:pStyle w:val="Heading2"/>
        <w:keepNext/>
        <w:spacing w:before="140" w:after="60" w:line="269" w:lineRule="auto"/>
      </w:pPr>
      <w:r>
        <w:rPr>
          <w:rFonts w:ascii="Inter Display" w:hAnsi="Inter Display" w:eastAsia="Inter Display"/>
          <w:b/>
          <w:color w:val="7B0F22"/>
          <w:sz w:val="23"/>
        </w:rPr>
        <w:t>Environment model</w:t>
      </w: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1814"/>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Environment</w:t>
            </w:r>
          </w:p>
        </w:tc>
        <w:tc>
          <w:tcPr>
            <w:tcW w:type="dxa" w:w="3628"/>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Purpose</w:t>
            </w:r>
          </w:p>
        </w:tc>
        <w:tc>
          <w:tcPr>
            <w:tcW w:type="dxa" w:w="3912"/>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Requirements</w:t>
            </w:r>
          </w:p>
        </w:tc>
      </w:tr>
      <w:tr>
        <w:trPr>
          <w:cantSplit/>
        </w:trPr>
        <w:tc>
          <w:tcPr>
            <w:tcW w:type="dxa" w:w="1814"/>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Local</w:t>
            </w:r>
          </w:p>
        </w:tc>
        <w:tc>
          <w:tcPr>
            <w:tcW w:type="dxa" w:w="362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Feature development and simulation testing</w:t>
            </w:r>
          </w:p>
        </w:tc>
        <w:tc>
          <w:tcPr>
            <w:tcW w:type="dxa" w:w="3912"/>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Node/pnpm toolchain; browser dev tools</w:t>
            </w:r>
          </w:p>
        </w:tc>
      </w:tr>
      <w:tr>
        <w:trPr>
          <w:cantSplit/>
        </w:trPr>
        <w:tc>
          <w:tcPr>
            <w:tcW w:type="dxa" w:w="1814"/>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Preview</w:t>
            </w:r>
          </w:p>
        </w:tc>
        <w:tc>
          <w:tcPr>
            <w:tcW w:type="dxa" w:w="362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Pull-request or branch validation</w:t>
            </w:r>
          </w:p>
        </w:tc>
        <w:tc>
          <w:tcPr>
            <w:tcW w:type="dxa" w:w="3912"/>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Static deployment or equivalent artifact preview</w:t>
            </w:r>
          </w:p>
        </w:tc>
      </w:tr>
      <w:tr>
        <w:trPr>
          <w:cantSplit/>
        </w:trPr>
        <w:tc>
          <w:tcPr>
            <w:tcW w:type="dxa" w:w="1814"/>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Production demo</w:t>
            </w:r>
          </w:p>
        </w:tc>
        <w:tc>
          <w:tcPr>
            <w:tcW w:type="dxa" w:w="362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Public AridentFlow showcase under AridentRIS</w:t>
            </w:r>
          </w:p>
        </w:tc>
        <w:tc>
          <w:tcPr>
            <w:tcW w:type="dxa" w:w="3912"/>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HTTPS static origin, correct caching, CSP/security headers, custom domain if desired</w:t>
            </w:r>
          </w:p>
        </w:tc>
      </w:tr>
      <w:tr>
        <w:trPr>
          <w:cantSplit/>
        </w:trPr>
        <w:tc>
          <w:tcPr>
            <w:tcW w:type="dxa" w:w="1814"/>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Client deployment</w:t>
            </w:r>
          </w:p>
        </w:tc>
        <w:tc>
          <w:tcPr>
            <w:tcW w:type="dxa" w:w="362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Optional future customer-managed deployment</w:t>
            </w:r>
          </w:p>
        </w:tc>
        <w:tc>
          <w:tcPr>
            <w:tcW w:type="dxa" w:w="3912"/>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Any static hosting compatible with generated output and customer security requirements</w:t>
            </w:r>
          </w:p>
        </w:tc>
      </w:tr>
    </w:tbl>
    <w:p>
      <w:pPr>
        <w:spacing w:after="0"/>
      </w:pPr>
    </w:p>
    <w:p>
      <w:pPr>
        <w:pStyle w:val="Heading2"/>
        <w:keepNext/>
        <w:spacing w:before="140" w:after="60" w:line="269" w:lineRule="auto"/>
      </w:pPr>
      <w:r>
        <w:rPr>
          <w:rFonts w:ascii="Inter Display" w:hAnsi="Inter Display" w:eastAsia="Inter Display"/>
          <w:b/>
          <w:color w:val="7B0F22"/>
          <w:sz w:val="23"/>
        </w:rPr>
        <w:t>CI/CD quality gate</w:t>
      </w:r>
    </w:p>
    <w:p>
      <w:pPr>
        <w:spacing w:before="0" w:after="60" w:line="259" w:lineRule="auto"/>
        <w:ind w:left="351" w:hanging="238"/>
      </w:pPr>
      <w:r>
        <w:rPr>
          <w:rFonts w:ascii="Inter" w:hAnsi="Inter" w:eastAsia="Inter"/>
          <w:b/>
          <w:color w:val="B87333"/>
          <w:sz w:val="18"/>
        </w:rPr>
        <w:t>1.</w:t>
      </w:r>
      <w:r>
        <w:rPr>
          <w:rFonts w:ascii="Inter" w:hAnsi="Inter" w:eastAsia="Inter"/>
          <w:color w:val="20242A"/>
          <w:sz w:val="18"/>
        </w:rPr>
        <w:t xml:space="preserve">  Install dependencies from lockfile.</w:t>
      </w:r>
    </w:p>
    <w:p>
      <w:pPr>
        <w:spacing w:before="0" w:after="60" w:line="259" w:lineRule="auto"/>
        <w:ind w:left="351" w:hanging="238"/>
      </w:pPr>
      <w:r>
        <w:rPr>
          <w:rFonts w:ascii="Inter" w:hAnsi="Inter" w:eastAsia="Inter"/>
          <w:b/>
          <w:color w:val="B87333"/>
          <w:sz w:val="18"/>
        </w:rPr>
        <w:t>2.</w:t>
      </w:r>
      <w:r>
        <w:rPr>
          <w:rFonts w:ascii="Inter" w:hAnsi="Inter" w:eastAsia="Inter"/>
          <w:color w:val="20242A"/>
          <w:sz w:val="18"/>
        </w:rPr>
        <w:t xml:space="preserve">  Run formatting/lint and TypeScript checks.</w:t>
      </w:r>
    </w:p>
    <w:p>
      <w:pPr>
        <w:spacing w:before="0" w:after="60" w:line="259" w:lineRule="auto"/>
        <w:ind w:left="351" w:hanging="238"/>
      </w:pPr>
      <w:r>
        <w:rPr>
          <w:rFonts w:ascii="Inter" w:hAnsi="Inter" w:eastAsia="Inter"/>
          <w:b/>
          <w:color w:val="B87333"/>
          <w:sz w:val="18"/>
        </w:rPr>
        <w:t>3.</w:t>
      </w:r>
      <w:r>
        <w:rPr>
          <w:rFonts w:ascii="Inter" w:hAnsi="Inter" w:eastAsia="Inter"/>
          <w:color w:val="20242A"/>
          <w:sz w:val="18"/>
        </w:rPr>
        <w:t xml:space="preserve">  Run unit, property and persistence tests.</w:t>
      </w:r>
    </w:p>
    <w:p>
      <w:pPr>
        <w:spacing w:before="0" w:after="60" w:line="259" w:lineRule="auto"/>
        <w:ind w:left="351" w:hanging="238"/>
      </w:pPr>
      <w:r>
        <w:rPr>
          <w:rFonts w:ascii="Inter" w:hAnsi="Inter" w:eastAsia="Inter"/>
          <w:b/>
          <w:color w:val="B87333"/>
          <w:sz w:val="18"/>
        </w:rPr>
        <w:t>4.</w:t>
      </w:r>
      <w:r>
        <w:rPr>
          <w:rFonts w:ascii="Inter" w:hAnsi="Inter" w:eastAsia="Inter"/>
          <w:color w:val="20242A"/>
          <w:sz w:val="18"/>
        </w:rPr>
        <w:t xml:space="preserve">  Build static production output.</w:t>
      </w:r>
    </w:p>
    <w:p>
      <w:pPr>
        <w:spacing w:before="0" w:after="60" w:line="259" w:lineRule="auto"/>
        <w:ind w:left="351" w:hanging="238"/>
      </w:pPr>
      <w:r>
        <w:rPr>
          <w:rFonts w:ascii="Inter" w:hAnsi="Inter" w:eastAsia="Inter"/>
          <w:b/>
          <w:color w:val="B87333"/>
          <w:sz w:val="18"/>
        </w:rPr>
        <w:t>5.</w:t>
      </w:r>
      <w:r>
        <w:rPr>
          <w:rFonts w:ascii="Inter" w:hAnsi="Inter" w:eastAsia="Inter"/>
          <w:color w:val="20242A"/>
          <w:sz w:val="18"/>
        </w:rPr>
        <w:t xml:space="preserve">  Run dependency vulnerability and license checks.</w:t>
      </w:r>
    </w:p>
    <w:p>
      <w:pPr>
        <w:spacing w:before="0" w:after="60" w:line="259" w:lineRule="auto"/>
        <w:ind w:left="351" w:hanging="238"/>
      </w:pPr>
      <w:r>
        <w:rPr>
          <w:rFonts w:ascii="Inter" w:hAnsi="Inter" w:eastAsia="Inter"/>
          <w:b/>
          <w:color w:val="B87333"/>
          <w:sz w:val="18"/>
        </w:rPr>
        <w:t>6.</w:t>
      </w:r>
      <w:r>
        <w:rPr>
          <w:rFonts w:ascii="Inter" w:hAnsi="Inter" w:eastAsia="Inter"/>
          <w:color w:val="20242A"/>
          <w:sz w:val="18"/>
        </w:rPr>
        <w:t xml:space="preserve">  Run critical Playwright smoke/E2E workflows against the built artifact.</w:t>
      </w:r>
    </w:p>
    <w:p>
      <w:pPr>
        <w:spacing w:before="0" w:after="60" w:line="259" w:lineRule="auto"/>
        <w:ind w:left="351" w:hanging="238"/>
      </w:pPr>
      <w:r>
        <w:rPr>
          <w:rFonts w:ascii="Inter" w:hAnsi="Inter" w:eastAsia="Inter"/>
          <w:b/>
          <w:color w:val="B87333"/>
          <w:sz w:val="18"/>
        </w:rPr>
        <w:t>7.</w:t>
      </w:r>
      <w:r>
        <w:rPr>
          <w:rFonts w:ascii="Inter" w:hAnsi="Inter" w:eastAsia="Inter"/>
          <w:color w:val="20242A"/>
          <w:sz w:val="18"/>
        </w:rPr>
        <w:t xml:space="preserve">  Publish only after required quality gates pass.</w:t>
      </w:r>
    </w:p>
    <w:p>
      <w:pPr>
        <w:pStyle w:val="Heading2"/>
        <w:keepNext/>
        <w:spacing w:before="140" w:after="60" w:line="269" w:lineRule="auto"/>
      </w:pPr>
      <w:r>
        <w:rPr>
          <w:rFonts w:ascii="Inter Display" w:hAnsi="Inter Display" w:eastAsia="Inter Display"/>
          <w:b/>
          <w:color w:val="7B0F22"/>
          <w:sz w:val="23"/>
        </w:rPr>
        <w:t>Service-cost position</w:t>
      </w:r>
    </w:p>
    <w:tbl>
      <w:tblPr>
        <w:tblW w:type="auto" w:w="0"/>
        <w:jc w:val="center"/>
        <w:tblLayout w:type="autofit"/>
        <w:tblLook w:firstColumn="1" w:firstRow="1" w:lastColumn="0" w:lastRow="0" w:noHBand="0" w:noVBand="1" w:val="04A0"/>
      </w:tblPr>
      <w:tblGrid>
        <w:gridCol w:w="10092"/>
      </w:tblGrid>
      <w:tr>
        <w:trPr>
          <w:cantSplit/>
        </w:trPr>
        <w:tc>
          <w:tcPr>
            <w:tcW w:type="dxa" w:w="10092"/>
            <w:shd w:fill="FBF7EE"/>
            <w:tcMar>
              <w:top w:w="120" w:type="dxa"/>
              <w:start w:w="180" w:type="dxa"/>
              <w:bottom w:w="120" w:type="dxa"/>
              <w:end w:w="180" w:type="dxa"/>
            </w:tcMar>
            <w:tcBorders>
              <w:top w:val="nil"/>
              <w:left w:val="single" w:sz="20" w:color="B87333"/>
              <w:bottom w:val="nil"/>
              <w:right w:val="nil"/>
            </w:tcBorders>
          </w:tcPr>
          <w:p>
            <w:pPr>
              <w:spacing w:before="0" w:after="60" w:line="269" w:lineRule="auto"/>
            </w:pPr>
            <w:r>
              <w:rPr>
                <w:rFonts w:ascii="Inter" w:hAnsi="Inter" w:eastAsia="Inter"/>
                <w:b/>
                <w:color w:val="B87333"/>
                <w:sz w:val="16"/>
              </w:rPr>
              <w:t>PRODUCTION DEPENDENCY RULE</w:t>
            </w:r>
          </w:p>
          <w:p>
            <w:pPr>
              <w:spacing w:before="0" w:after="0" w:line="269" w:lineRule="auto"/>
            </w:pPr>
            <w:r>
              <w:rPr>
                <w:rFonts w:ascii="Inter" w:hAnsi="Inter" w:eastAsia="Inter"/>
                <w:color w:val="20242A"/>
                <w:sz w:val="18"/>
              </w:rPr>
              <w:t>The application must not require a “free tier” SaaS service to function. If a later optional service is introduced, the product must continue to degrade gracefully or document the exact commercial dependency instead of presenting temporary free quotas as permanently free production infrastructure.</w:t>
            </w:r>
          </w:p>
        </w:tc>
      </w:tr>
    </w:tbl>
    <w:p>
      <w:pPr>
        <w:spacing w:after="0"/>
      </w:pPr>
    </w:p>
    <w:p>
      <w:pPr>
        <w:pStyle w:val="Heading1"/>
        <w:keepNext/>
        <w:spacing w:before="200" w:after="80" w:line="269" w:lineRule="auto"/>
      </w:pPr>
      <w:r>
        <w:rPr>
          <w:rFonts w:ascii="Inter Display" w:hAnsi="Inter Display" w:eastAsia="Inter Display"/>
          <w:b/>
          <w:color w:val="B87333"/>
          <w:sz w:val="22"/>
        </w:rPr>
        <w:t>24</w:t>
      </w:r>
      <w:r>
        <w:rPr>
          <w:rFonts w:ascii="Inter Display" w:hAnsi="Inter Display" w:eastAsia="Inter Display"/>
          <w:b/>
          <w:color w:val="5A0F1A"/>
          <w:sz w:val="36"/>
        </w:rPr>
        <w:t xml:space="preserve">  Future Enhancements</w:t>
      </w:r>
    </w:p>
    <w:p>
      <w:pPr>
        <w:spacing w:before="0" w:after="140" w:line="269" w:lineRule="auto"/>
      </w:pPr>
      <w:r>
        <w:rPr>
          <w:rFonts w:ascii="Inter" w:hAnsi="Inter" w:eastAsia="Inter"/>
          <w:i/>
          <w:color w:val="667085"/>
          <w:sz w:val="18"/>
        </w:rPr>
        <w:t>Capabilities that deepen process intelligence after the core simulator proves valuable.</w:t>
      </w:r>
    </w:p>
    <w:p>
      <w:pPr>
        <w:spacing w:before="0" w:after="140" w:line="269" w:lineRule="auto"/>
        <w:pBdr>
          <w:bottom w:val="single" w:sz="7" w:space="1" w:color="C9B2B5"/>
        </w:pBdr>
      </w:pP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1304"/>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Horizon</w:t>
            </w:r>
          </w:p>
        </w:tc>
        <w:tc>
          <w:tcPr>
            <w:tcW w:type="dxa" w:w="3061"/>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Enhancement</w:t>
            </w:r>
          </w:p>
        </w:tc>
        <w:tc>
          <w:tcPr>
            <w:tcW w:type="dxa" w:w="4989"/>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Value</w:t>
            </w:r>
          </w:p>
        </w:tc>
      </w:tr>
      <w:tr>
        <w:trPr>
          <w:cantSplit/>
        </w:trPr>
        <w:tc>
          <w:tcPr>
            <w:tcW w:type="dxa" w:w="1304"/>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P1</w:t>
            </w:r>
          </w:p>
        </w:tc>
        <w:tc>
          <w:tcPr>
            <w:tcW w:type="dxa" w:w="306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Parallel process semantics</w:t>
            </w:r>
          </w:p>
        </w:tc>
        <w:tc>
          <w:tcPr>
            <w:tcW w:type="dxa" w:w="4989"/>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Fork/join timing and correct critical-path aggregation.</w:t>
            </w:r>
          </w:p>
        </w:tc>
      </w:tr>
      <w:tr>
        <w:trPr>
          <w:cantSplit/>
        </w:trPr>
        <w:tc>
          <w:tcPr>
            <w:tcW w:type="dxa" w:w="1304"/>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P1</w:t>
            </w:r>
          </w:p>
        </w:tc>
        <w:tc>
          <w:tcPr>
            <w:tcW w:type="dxa" w:w="3061"/>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Advanced distributions</w:t>
            </w:r>
          </w:p>
        </w:tc>
        <w:tc>
          <w:tcPr>
            <w:tcW w:type="dxa" w:w="4989"/>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Normal, log-normal and empirical distributions with safe parameter validation.</w:t>
            </w:r>
          </w:p>
        </w:tc>
      </w:tr>
      <w:tr>
        <w:trPr>
          <w:cantSplit/>
        </w:trPr>
        <w:tc>
          <w:tcPr>
            <w:tcW w:type="dxa" w:w="1304"/>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P1</w:t>
            </w:r>
          </w:p>
        </w:tc>
        <w:tc>
          <w:tcPr>
            <w:tcW w:type="dxa" w:w="306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Process Outline</w:t>
            </w:r>
          </w:p>
        </w:tc>
        <w:tc>
          <w:tcPr>
            <w:tcW w:type="dxa" w:w="4989"/>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Accessible text representation and alternative navigation.</w:t>
            </w:r>
          </w:p>
        </w:tc>
      </w:tr>
      <w:tr>
        <w:trPr>
          <w:cantSplit/>
        </w:trPr>
        <w:tc>
          <w:tcPr>
            <w:tcW w:type="dxa" w:w="1304"/>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P1</w:t>
            </w:r>
          </w:p>
        </w:tc>
        <w:tc>
          <w:tcPr>
            <w:tcW w:type="dxa" w:w="3061"/>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Sensitivity analysis</w:t>
            </w:r>
          </w:p>
        </w:tc>
        <w:tc>
          <w:tcPr>
            <w:tcW w:type="dxa" w:w="4989"/>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Measure which assumptions most influence cycle time, SLA or cost.</w:t>
            </w:r>
          </w:p>
        </w:tc>
      </w:tr>
      <w:tr>
        <w:trPr>
          <w:cantSplit/>
        </w:trPr>
        <w:tc>
          <w:tcPr>
            <w:tcW w:type="dxa" w:w="1304"/>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P1</w:t>
            </w:r>
          </w:p>
        </w:tc>
        <w:tc>
          <w:tcPr>
            <w:tcW w:type="dxa" w:w="306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Offline/PWA hardening</w:t>
            </w:r>
          </w:p>
        </w:tc>
        <w:tc>
          <w:tcPr>
            <w:tcW w:type="dxa" w:w="4989"/>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Installable app shell and resilient cached assets.</w:t>
            </w:r>
          </w:p>
        </w:tc>
      </w:tr>
      <w:tr>
        <w:trPr>
          <w:cantSplit/>
        </w:trPr>
        <w:tc>
          <w:tcPr>
            <w:tcW w:type="dxa" w:w="1304"/>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P2</w:t>
            </w:r>
          </w:p>
        </w:tc>
        <w:tc>
          <w:tcPr>
            <w:tcW w:type="dxa" w:w="3061"/>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Resource pools and calendars</w:t>
            </w:r>
          </w:p>
        </w:tc>
        <w:tc>
          <w:tcPr>
            <w:tcW w:type="dxa" w:w="4989"/>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Roles, availability, shifts and calendar-aware timing.</w:t>
            </w:r>
          </w:p>
        </w:tc>
      </w:tr>
      <w:tr>
        <w:trPr>
          <w:cantSplit/>
        </w:trPr>
        <w:tc>
          <w:tcPr>
            <w:tcW w:type="dxa" w:w="1304"/>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P2</w:t>
            </w:r>
          </w:p>
        </w:tc>
        <w:tc>
          <w:tcPr>
            <w:tcW w:type="dxa" w:w="306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Queue/discrete-event simulation</w:t>
            </w:r>
          </w:p>
        </w:tc>
        <w:tc>
          <w:tcPr>
            <w:tcW w:type="dxa" w:w="4989"/>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Arrival rates, queues, capacity constraints and utilization.</w:t>
            </w:r>
          </w:p>
        </w:tc>
      </w:tr>
      <w:tr>
        <w:trPr>
          <w:cantSplit/>
        </w:trPr>
        <w:tc>
          <w:tcPr>
            <w:tcW w:type="dxa" w:w="1304"/>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P2</w:t>
            </w:r>
          </w:p>
        </w:tc>
        <w:tc>
          <w:tcPr>
            <w:tcW w:type="dxa" w:w="3061"/>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Rework and failure semantics</w:t>
            </w:r>
          </w:p>
        </w:tc>
        <w:tc>
          <w:tcPr>
            <w:tcW w:type="dxa" w:w="4989"/>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Controlled loops and retry behavior with explicit termination safeguards.</w:t>
            </w:r>
          </w:p>
        </w:tc>
      </w:tr>
      <w:tr>
        <w:trPr>
          <w:cantSplit/>
        </w:trPr>
        <w:tc>
          <w:tcPr>
            <w:tcW w:type="dxa" w:w="1304"/>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P2</w:t>
            </w:r>
          </w:p>
        </w:tc>
        <w:tc>
          <w:tcPr>
            <w:tcW w:type="dxa" w:w="306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Process mining</w:t>
            </w:r>
          </w:p>
        </w:tc>
        <w:tc>
          <w:tcPr>
            <w:tcW w:type="dxa" w:w="4989"/>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Import event logs and compare observed paths/timings with the designed model.</w:t>
            </w:r>
          </w:p>
        </w:tc>
      </w:tr>
      <w:tr>
        <w:trPr>
          <w:cantSplit/>
        </w:trPr>
        <w:tc>
          <w:tcPr>
            <w:tcW w:type="dxa" w:w="1304"/>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P2</w:t>
            </w:r>
          </w:p>
        </w:tc>
        <w:tc>
          <w:tcPr>
            <w:tcW w:type="dxa" w:w="3061"/>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Optimization assistant</w:t>
            </w:r>
          </w:p>
        </w:tc>
        <w:tc>
          <w:tcPr>
            <w:tcW w:type="dxa" w:w="4989"/>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Deterministic recommendations based on contribution/sensitivity analysis.</w:t>
            </w:r>
          </w:p>
        </w:tc>
      </w:tr>
      <w:tr>
        <w:trPr>
          <w:cantSplit/>
        </w:trPr>
        <w:tc>
          <w:tcPr>
            <w:tcW w:type="dxa" w:w="1304"/>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Future SaaS</w:t>
            </w:r>
          </w:p>
        </w:tc>
        <w:tc>
          <w:tcPr>
            <w:tcW w:type="dxa" w:w="306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Cloud projects and collaboration</w:t>
            </w:r>
          </w:p>
        </w:tc>
        <w:tc>
          <w:tcPr>
            <w:tcW w:type="dxa" w:w="4989"/>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Accounts, organizations, comments, version history and team sharing.</w:t>
            </w:r>
          </w:p>
        </w:tc>
      </w:tr>
      <w:tr>
        <w:trPr>
          <w:cantSplit/>
        </w:trPr>
        <w:tc>
          <w:tcPr>
            <w:tcW w:type="dxa" w:w="1304"/>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Future enterprise</w:t>
            </w:r>
          </w:p>
        </w:tc>
        <w:tc>
          <w:tcPr>
            <w:tcW w:type="dxa" w:w="3061"/>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Integrations</w:t>
            </w:r>
          </w:p>
        </w:tc>
        <w:tc>
          <w:tcPr>
            <w:tcW w:type="dxa" w:w="4989"/>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Connectors for workflow, service-management and enterprise platforms after product-market validation.</w:t>
            </w:r>
          </w:p>
        </w:tc>
      </w:tr>
      <w:tr>
        <w:trPr>
          <w:cantSplit/>
        </w:trPr>
        <w:tc>
          <w:tcPr>
            <w:tcW w:type="dxa" w:w="1304"/>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Future AI</w:t>
            </w:r>
          </w:p>
        </w:tc>
        <w:tc>
          <w:tcPr>
            <w:tcW w:type="dxa" w:w="306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Optional AI assistance</w:t>
            </w:r>
          </w:p>
        </w:tc>
        <w:tc>
          <w:tcPr>
            <w:tcW w:type="dxa" w:w="4989"/>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Natural-language explanations or modeling assistance only after privacy/cost controls are defined.</w:t>
            </w:r>
          </w:p>
        </w:tc>
      </w:tr>
    </w:tbl>
    <w:p>
      <w:pPr>
        <w:spacing w:after="0"/>
      </w:pPr>
    </w:p>
    <w:p>
      <w:pPr>
        <w:pStyle w:val="Heading2"/>
        <w:keepNext/>
        <w:spacing w:before="140" w:after="60" w:line="269" w:lineRule="auto"/>
      </w:pPr>
      <w:r>
        <w:rPr>
          <w:rFonts w:ascii="Inter Display" w:hAnsi="Inter Display" w:eastAsia="Inter Display"/>
          <w:b/>
          <w:color w:val="7B0F22"/>
          <w:sz w:val="23"/>
        </w:rPr>
        <w:t>Evolution principle</w:t>
      </w:r>
    </w:p>
    <w:p>
      <w:pPr>
        <w:pStyle w:val="BodyText"/>
        <w:spacing w:before="0" w:after="100" w:line="269" w:lineRule="auto"/>
      </w:pPr>
      <w:r>
        <w:rPr>
          <w:rFonts w:ascii="Inter" w:hAnsi="Inter" w:eastAsia="Inter"/>
          <w:i w:val="0"/>
          <w:color w:val="20242A"/>
        </w:rPr>
        <w:t>Future features should reuse the same internal process/scenario contracts wherever possible. Cloud simulation, desktop packaging or collaborative storage should be adapters around a stable domain rather than separate implementations of the product rules.</w:t>
      </w:r>
    </w:p>
    <w:p>
      <w:pPr>
        <w:pStyle w:val="Heading1"/>
        <w:keepNext/>
        <w:spacing w:before="200" w:after="80" w:line="269" w:lineRule="auto"/>
      </w:pPr>
      <w:r>
        <w:rPr>
          <w:rFonts w:ascii="Inter Display" w:hAnsi="Inter Display" w:eastAsia="Inter Display"/>
          <w:b/>
          <w:color w:val="B87333"/>
          <w:sz w:val="22"/>
        </w:rPr>
        <w:t>25</w:t>
      </w:r>
      <w:r>
        <w:rPr>
          <w:rFonts w:ascii="Inter Display" w:hAnsi="Inter Display" w:eastAsia="Inter Display"/>
          <w:b/>
          <w:color w:val="5A0F1A"/>
          <w:sz w:val="36"/>
        </w:rPr>
        <w:t xml:space="preserve">  Success Metrics</w:t>
      </w:r>
    </w:p>
    <w:p>
      <w:pPr>
        <w:spacing w:before="0" w:after="140" w:line="269" w:lineRule="auto"/>
      </w:pPr>
      <w:r>
        <w:rPr>
          <w:rFonts w:ascii="Inter" w:hAnsi="Inter" w:eastAsia="Inter"/>
          <w:i/>
          <w:color w:val="667085"/>
          <w:sz w:val="18"/>
        </w:rPr>
        <w:t>Measures that indicate product usefulness, engineering quality and showcase effectiveness.</w:t>
      </w:r>
    </w:p>
    <w:p>
      <w:pPr>
        <w:spacing w:before="0" w:after="140" w:line="269" w:lineRule="auto"/>
        <w:pBdr>
          <w:bottom w:val="single" w:sz="7" w:space="1" w:color="C9B2B5"/>
        </w:pBdr>
      </w:pP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2268"/>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Metric</w:t>
            </w:r>
          </w:p>
        </w:tc>
        <w:tc>
          <w:tcPr>
            <w:tcW w:type="dxa" w:w="4876"/>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Target</w:t>
            </w:r>
          </w:p>
        </w:tc>
        <w:tc>
          <w:tcPr>
            <w:tcW w:type="dxa" w:w="2211"/>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Evidence</w:t>
            </w:r>
          </w:p>
        </w:tc>
      </w:tr>
      <w:tr>
        <w:trPr>
          <w:cantSplit/>
        </w:trPr>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Time to first value</w:t>
            </w:r>
          </w:p>
        </w:tc>
        <w:tc>
          <w:tcPr>
            <w:tcW w:type="dxa" w:w="4876"/>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First-time user can run a provided template and reach an interpretable result in ≤5 minutes.</w:t>
            </w:r>
          </w:p>
        </w:tc>
        <w:tc>
          <w:tcPr>
            <w:tcW w:type="dxa" w:w="221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Usability test</w:t>
            </w:r>
          </w:p>
        </w:tc>
      </w:tr>
      <w:tr>
        <w:trPr>
          <w:cantSplit/>
        </w:trPr>
        <w:tc>
          <w:tcPr>
            <w:tcW w:type="dxa" w:w="2268"/>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Workflow comprehension</w:t>
            </w:r>
          </w:p>
        </w:tc>
        <w:tc>
          <w:tcPr>
            <w:tcW w:type="dxa" w:w="4876"/>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User can describe the Model → Simulate → Improve loop without documentation.</w:t>
            </w:r>
          </w:p>
        </w:tc>
        <w:tc>
          <w:tcPr>
            <w:tcW w:type="dxa" w:w="2211"/>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Observed usability session</w:t>
            </w:r>
          </w:p>
        </w:tc>
      </w:tr>
      <w:tr>
        <w:trPr>
          <w:cantSplit/>
        </w:trPr>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Scenario clarity</w:t>
            </w:r>
          </w:p>
        </w:tc>
        <w:tc>
          <w:tcPr>
            <w:tcW w:type="dxa" w:w="4876"/>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User can answer whether scenario B improves scenario A and by how much without manual calculation.</w:t>
            </w:r>
          </w:p>
        </w:tc>
        <w:tc>
          <w:tcPr>
            <w:tcW w:type="dxa" w:w="221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Task completion</w:t>
            </w:r>
          </w:p>
        </w:tc>
      </w:tr>
      <w:tr>
        <w:trPr>
          <w:cantSplit/>
        </w:trPr>
        <w:tc>
          <w:tcPr>
            <w:tcW w:type="dxa" w:w="2268"/>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Reproducibility</w:t>
            </w:r>
          </w:p>
        </w:tc>
        <w:tc>
          <w:tcPr>
            <w:tcW w:type="dxa" w:w="4876"/>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Identical configuration + seed reproduces identical simulation output.</w:t>
            </w:r>
          </w:p>
        </w:tc>
        <w:tc>
          <w:tcPr>
            <w:tcW w:type="dxa" w:w="2211"/>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Automated test — 100%</w:t>
            </w:r>
          </w:p>
        </w:tc>
      </w:tr>
      <w:tr>
        <w:trPr>
          <w:cantSplit/>
        </w:trPr>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Responsiveness</w:t>
            </w:r>
          </w:p>
        </w:tc>
        <w:tc>
          <w:tcPr>
            <w:tcW w:type="dxa" w:w="4876"/>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Reference simulation does not freeze the main UI thread.</w:t>
            </w:r>
          </w:p>
        </w:tc>
        <w:tc>
          <w:tcPr>
            <w:tcW w:type="dxa" w:w="221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Performance test</w:t>
            </w:r>
          </w:p>
        </w:tc>
      </w:tr>
      <w:tr>
        <w:trPr>
          <w:cantSplit/>
        </w:trPr>
        <w:tc>
          <w:tcPr>
            <w:tcW w:type="dxa" w:w="2268"/>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Recoverability</w:t>
            </w:r>
          </w:p>
        </w:tc>
        <w:tc>
          <w:tcPr>
            <w:tcW w:type="dxa" w:w="4876"/>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Exported project imports successfully into a clean browser profile/version within supported schema rules.</w:t>
            </w:r>
          </w:p>
        </w:tc>
        <w:tc>
          <w:tcPr>
            <w:tcW w:type="dxa" w:w="2211"/>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E2E test</w:t>
            </w:r>
          </w:p>
        </w:tc>
      </w:tr>
      <w:tr>
        <w:trPr>
          <w:cantSplit/>
        </w:trPr>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Accessibility</w:t>
            </w:r>
          </w:p>
        </w:tc>
        <w:tc>
          <w:tcPr>
            <w:tcW w:type="dxa" w:w="4876"/>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No known critical automated accessibility violations in primary workflows; keyboard review completed.</w:t>
            </w:r>
          </w:p>
        </w:tc>
        <w:tc>
          <w:tcPr>
            <w:tcW w:type="dxa" w:w="221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axe + manual</w:t>
            </w:r>
          </w:p>
        </w:tc>
      </w:tr>
      <w:tr>
        <w:trPr>
          <w:cantSplit/>
        </w:trPr>
        <w:tc>
          <w:tcPr>
            <w:tcW w:type="dxa" w:w="2268"/>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Domain quality</w:t>
            </w:r>
          </w:p>
        </w:tc>
        <w:tc>
          <w:tcPr>
            <w:tcW w:type="dxa" w:w="4876"/>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Simulation/domain engine coverage ≥95% with meaningful branch/invariant tests.</w:t>
            </w:r>
          </w:p>
        </w:tc>
        <w:tc>
          <w:tcPr>
            <w:tcW w:type="dxa" w:w="2211"/>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CI</w:t>
            </w:r>
          </w:p>
        </w:tc>
      </w:tr>
      <w:tr>
        <w:trPr>
          <w:cantSplit/>
        </w:trPr>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Portfolio impact</w:t>
            </w:r>
          </w:p>
        </w:tc>
        <w:tc>
          <w:tcPr>
            <w:tcW w:type="dxa" w:w="4876"/>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Prospective client can understand business problem, solution and technical sophistication within ~3 minutes of guided demo.</w:t>
            </w:r>
          </w:p>
        </w:tc>
        <w:tc>
          <w:tcPr>
            <w:tcW w:type="dxa" w:w="221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Demo feedback</w:t>
            </w:r>
          </w:p>
        </w:tc>
      </w:tr>
    </w:tbl>
    <w:p>
      <w:pPr>
        <w:spacing w:after="0"/>
      </w:pPr>
    </w:p>
    <w:p>
      <w:pPr>
        <w:pStyle w:val="Heading2"/>
        <w:keepNext/>
        <w:spacing w:before="140" w:after="60" w:line="269" w:lineRule="auto"/>
      </w:pPr>
      <w:r>
        <w:rPr>
          <w:rFonts w:ascii="Inter Display" w:hAnsi="Inter Display" w:eastAsia="Inter Display"/>
          <w:b/>
          <w:color w:val="7B0F22"/>
          <w:sz w:val="23"/>
        </w:rPr>
        <w:t>Demo-level outcome example</w:t>
      </w:r>
    </w:p>
    <w:tbl>
      <w:tblPr>
        <w:tblW w:type="auto" w:w="0"/>
        <w:jc w:val="center"/>
        <w:tblLook w:firstColumn="1" w:firstRow="1" w:lastColumn="0" w:lastRow="0" w:noHBand="0" w:noVBand="1" w:val="04A0"/>
      </w:tblPr>
      <w:tblGrid>
        <w:gridCol w:w="2523"/>
        <w:gridCol w:w="2523"/>
        <w:gridCol w:w="2523"/>
        <w:gridCol w:w="2523"/>
      </w:tblGrid>
      <w:tr>
        <w:tc>
          <w:tcPr>
            <w:tcW w:type="dxa" w:w="2523"/>
            <w:tcBorders>
              <w:top w:val="single" w:sz="4" w:color="D8D1D0"/>
              <w:left w:val="single" w:sz="4" w:color="D8D1D0"/>
              <w:bottom w:val="single" w:sz="4" w:color="D8D1D0"/>
              <w:right w:val="single" w:sz="4" w:color="D8D1D0"/>
            </w:tcBorders>
            <w:shd w:fill="F7F2F1"/>
            <w:tcMar>
              <w:top w:w="130" w:type="dxa"/>
              <w:start w:w="120" w:type="dxa"/>
              <w:bottom w:w="130" w:type="dxa"/>
              <w:end w:w="120" w:type="dxa"/>
            </w:tcMar>
          </w:tcPr>
          <w:p>
            <w:pPr>
              <w:spacing w:before="0" w:after="20" w:line="269" w:lineRule="auto"/>
              <w:jc w:val="center"/>
            </w:pPr>
            <w:r>
              <w:rPr>
                <w:rFonts w:ascii="Inter Display" w:hAnsi="Inter Display" w:eastAsia="Inter Display"/>
                <w:b/>
                <w:color w:val="5A0F1A"/>
                <w:sz w:val="30"/>
              </w:rPr>
              <w:t>31.4 h</w:t>
            </w:r>
          </w:p>
          <w:p>
            <w:pPr>
              <w:spacing w:before="0" w:after="20" w:line="269" w:lineRule="auto"/>
              <w:jc w:val="center"/>
            </w:pPr>
            <w:r>
              <w:rPr>
                <w:rFonts w:ascii="Inter" w:hAnsi="Inter" w:eastAsia="Inter"/>
                <w:b/>
                <w:color w:val="B87333"/>
                <w:sz w:val="15"/>
              </w:rPr>
              <w:t>BASELINE AVG</w:t>
            </w:r>
          </w:p>
          <w:p>
            <w:pPr>
              <w:spacing w:before="0" w:after="0" w:line="240" w:lineRule="auto"/>
              <w:jc w:val="center"/>
            </w:pPr>
            <w:r>
              <w:rPr>
                <w:rFonts w:ascii="Inter" w:hAnsi="Inter" w:eastAsia="Inter"/>
                <w:color w:val="475467"/>
                <w:sz w:val="15"/>
              </w:rPr>
              <w:t>Illustrative purchase approval scenario.</w:t>
            </w:r>
          </w:p>
        </w:tc>
        <w:tc>
          <w:tcPr>
            <w:tcW w:type="dxa" w:w="2523"/>
            <w:tcBorders>
              <w:top w:val="single" w:sz="4" w:color="D8D1D0"/>
              <w:left w:val="single" w:sz="4" w:color="D8D1D0"/>
              <w:bottom w:val="single" w:sz="4" w:color="D8D1D0"/>
              <w:right w:val="single" w:sz="4" w:color="D8D1D0"/>
            </w:tcBorders>
            <w:shd w:fill="FBF7EE"/>
            <w:tcMar>
              <w:top w:w="130" w:type="dxa"/>
              <w:start w:w="120" w:type="dxa"/>
              <w:bottom w:w="130" w:type="dxa"/>
              <w:end w:w="120" w:type="dxa"/>
            </w:tcMar>
          </w:tcPr>
          <w:p>
            <w:pPr>
              <w:spacing w:before="0" w:after="20" w:line="269" w:lineRule="auto"/>
              <w:jc w:val="center"/>
            </w:pPr>
            <w:r>
              <w:rPr>
                <w:rFonts w:ascii="Inter Display" w:hAnsi="Inter Display" w:eastAsia="Inter Display"/>
                <w:b/>
                <w:color w:val="5A0F1A"/>
                <w:sz w:val="30"/>
              </w:rPr>
              <w:t>19.7 h</w:t>
            </w:r>
          </w:p>
          <w:p>
            <w:pPr>
              <w:spacing w:before="0" w:after="20" w:line="269" w:lineRule="auto"/>
              <w:jc w:val="center"/>
            </w:pPr>
            <w:r>
              <w:rPr>
                <w:rFonts w:ascii="Inter" w:hAnsi="Inter" w:eastAsia="Inter"/>
                <w:b/>
                <w:color w:val="B87333"/>
                <w:sz w:val="15"/>
              </w:rPr>
              <w:t>PROPOSED AVG</w:t>
            </w:r>
          </w:p>
          <w:p>
            <w:pPr>
              <w:spacing w:before="0" w:after="0" w:line="240" w:lineRule="auto"/>
              <w:jc w:val="center"/>
            </w:pPr>
            <w:r>
              <w:rPr>
                <w:rFonts w:ascii="Inter" w:hAnsi="Inter" w:eastAsia="Inter"/>
                <w:color w:val="475467"/>
                <w:sz w:val="15"/>
              </w:rPr>
              <w:t>Illustrative post-change result.</w:t>
            </w:r>
          </w:p>
        </w:tc>
        <w:tc>
          <w:tcPr>
            <w:tcW w:type="dxa" w:w="2523"/>
            <w:tcBorders>
              <w:top w:val="single" w:sz="4" w:color="D8D1D0"/>
              <w:left w:val="single" w:sz="4" w:color="D8D1D0"/>
              <w:bottom w:val="single" w:sz="4" w:color="D8D1D0"/>
              <w:right w:val="single" w:sz="4" w:color="D8D1D0"/>
            </w:tcBorders>
            <w:shd w:fill="F7F2F1"/>
            <w:tcMar>
              <w:top w:w="130" w:type="dxa"/>
              <w:start w:w="120" w:type="dxa"/>
              <w:bottom w:w="130" w:type="dxa"/>
              <w:end w:w="120" w:type="dxa"/>
            </w:tcMar>
          </w:tcPr>
          <w:p>
            <w:pPr>
              <w:spacing w:before="0" w:after="20" w:line="269" w:lineRule="auto"/>
              <w:jc w:val="center"/>
            </w:pPr>
            <w:r>
              <w:rPr>
                <w:rFonts w:ascii="Inter Display" w:hAnsi="Inter Display" w:eastAsia="Inter Display"/>
                <w:b/>
                <w:color w:val="5A0F1A"/>
                <w:sz w:val="30"/>
              </w:rPr>
              <w:t>38% → 81%</w:t>
            </w:r>
          </w:p>
          <w:p>
            <w:pPr>
              <w:spacing w:before="0" w:after="20" w:line="269" w:lineRule="auto"/>
              <w:jc w:val="center"/>
            </w:pPr>
            <w:r>
              <w:rPr>
                <w:rFonts w:ascii="Inter" w:hAnsi="Inter" w:eastAsia="Inter"/>
                <w:b/>
                <w:color w:val="B87333"/>
                <w:sz w:val="15"/>
              </w:rPr>
              <w:t>SLA COMPLIANCE</w:t>
            </w:r>
          </w:p>
          <w:p>
            <w:pPr>
              <w:spacing w:before="0" w:after="0" w:line="240" w:lineRule="auto"/>
              <w:jc w:val="center"/>
            </w:pPr>
            <w:r>
              <w:rPr>
                <w:rFonts w:ascii="Inter" w:hAnsi="Inter" w:eastAsia="Inter"/>
                <w:color w:val="475467"/>
                <w:sz w:val="15"/>
              </w:rPr>
              <w:t>Illustrative scenario comparison.</w:t>
            </w:r>
          </w:p>
        </w:tc>
        <w:tc>
          <w:tcPr>
            <w:tcW w:type="dxa" w:w="2523"/>
            <w:tcBorders>
              <w:top w:val="single" w:sz="4" w:color="D8D1D0"/>
              <w:left w:val="single" w:sz="4" w:color="D8D1D0"/>
              <w:bottom w:val="single" w:sz="4" w:color="D8D1D0"/>
              <w:right w:val="single" w:sz="4" w:color="D8D1D0"/>
            </w:tcBorders>
            <w:shd w:fill="FBF7EE"/>
            <w:tcMar>
              <w:top w:w="130" w:type="dxa"/>
              <w:start w:w="120" w:type="dxa"/>
              <w:bottom w:w="130" w:type="dxa"/>
              <w:end w:w="120" w:type="dxa"/>
            </w:tcMar>
          </w:tcPr>
          <w:p>
            <w:pPr>
              <w:spacing w:before="0" w:after="20" w:line="269" w:lineRule="auto"/>
              <w:jc w:val="center"/>
            </w:pPr>
            <w:r>
              <w:rPr>
                <w:rFonts w:ascii="Inter Display" w:hAnsi="Inter Display" w:eastAsia="Inter Display"/>
                <w:b/>
                <w:color w:val="5A0F1A"/>
                <w:sz w:val="30"/>
              </w:rPr>
              <w:t>Approval</w:t>
            </w:r>
          </w:p>
          <w:p>
            <w:pPr>
              <w:spacing w:before="0" w:after="20" w:line="269" w:lineRule="auto"/>
              <w:jc w:val="center"/>
            </w:pPr>
            <w:r>
              <w:rPr>
                <w:rFonts w:ascii="Inter" w:hAnsi="Inter" w:eastAsia="Inter"/>
                <w:b/>
                <w:color w:val="B87333"/>
                <w:sz w:val="15"/>
              </w:rPr>
              <w:t>PRIMARY CONSTRAINT</w:t>
            </w:r>
          </w:p>
          <w:p>
            <w:pPr>
              <w:spacing w:before="0" w:after="0" w:line="240" w:lineRule="auto"/>
              <w:jc w:val="center"/>
            </w:pPr>
            <w:r>
              <w:rPr>
                <w:rFonts w:ascii="Inter" w:hAnsi="Inter" w:eastAsia="Inter"/>
                <w:color w:val="475467"/>
                <w:sz w:val="15"/>
              </w:rPr>
              <w:t>Explain the highest-leverage activity.</w:t>
            </w:r>
          </w:p>
        </w:tc>
      </w:tr>
    </w:tbl>
    <w:p>
      <w:pPr>
        <w:spacing w:after="0"/>
      </w:pPr>
    </w:p>
    <w:p>
      <w:pPr>
        <w:pStyle w:val="BodyText"/>
        <w:spacing w:before="0" w:after="100" w:line="269" w:lineRule="auto"/>
      </w:pPr>
      <w:r>
        <w:rPr>
          <w:rFonts w:ascii="Inter" w:hAnsi="Inter" w:eastAsia="Inter"/>
          <w:i w:val="0"/>
          <w:color w:val="20242A"/>
        </w:rPr>
        <w:t>The values above are illustrative product-demo targets, not claims about a real organization. The showcase should make clear which data is sample data and which findings are calculated by the application.</w:t>
      </w:r>
    </w:p>
    <w:p>
      <w:pPr>
        <w:pStyle w:val="Heading1"/>
        <w:keepNext/>
        <w:spacing w:before="200" w:after="80" w:line="269" w:lineRule="auto"/>
      </w:pPr>
      <w:r>
        <w:rPr>
          <w:rFonts w:ascii="Inter Display" w:hAnsi="Inter Display" w:eastAsia="Inter Display"/>
          <w:b/>
          <w:color w:val="B87333"/>
          <w:sz w:val="22"/>
        </w:rPr>
        <w:t>26</w:t>
      </w:r>
      <w:r>
        <w:rPr>
          <w:rFonts w:ascii="Inter Display" w:hAnsi="Inter Display" w:eastAsia="Inter Display"/>
          <w:b/>
          <w:color w:val="5A0F1A"/>
          <w:sz w:val="36"/>
        </w:rPr>
        <w:t xml:space="preserve">  Risks and Assumptions</w:t>
      </w:r>
    </w:p>
    <w:p>
      <w:pPr>
        <w:spacing w:before="0" w:after="140" w:line="269" w:lineRule="auto"/>
      </w:pPr>
      <w:r>
        <w:rPr>
          <w:rFonts w:ascii="Inter" w:hAnsi="Inter" w:eastAsia="Inter"/>
          <w:i/>
          <w:color w:val="667085"/>
          <w:sz w:val="18"/>
        </w:rPr>
        <w:t>Known uncertainties, their impact, and the controls required to keep the project credible.</w:t>
      </w:r>
    </w:p>
    <w:p>
      <w:pPr>
        <w:spacing w:before="0" w:after="140" w:line="269" w:lineRule="auto"/>
        <w:pBdr>
          <w:bottom w:val="single" w:sz="7" w:space="1" w:color="C9B2B5"/>
        </w:pBdr>
      </w:pPr>
    </w:p>
    <w:tbl>
      <w:tblPr>
        <w:tblStyle w:val="TableGrid"/>
        <w:tblW w:type="auto" w:w="0"/>
        <w:jc w:val="center"/>
        <w:tblLook w:firstColumn="1" w:firstRow="1" w:lastColumn="0" w:lastRow="0" w:noHBand="0" w:noVBand="1" w:val="04A0"/>
      </w:tblPr>
      <w:tblGrid>
        <w:gridCol w:w="2523"/>
        <w:gridCol w:w="2523"/>
        <w:gridCol w:w="2523"/>
        <w:gridCol w:w="2523"/>
      </w:tblGrid>
      <w:tr>
        <w:trPr>
          <w:tblHeader w:val="true"/>
        </w:trPr>
        <w:tc>
          <w:tcPr>
            <w:tcW w:type="dxa" w:w="1928"/>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Risk</w:t>
            </w:r>
          </w:p>
        </w:tc>
        <w:tc>
          <w:tcPr>
            <w:tcW w:type="dxa" w:w="907"/>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Impact</w:t>
            </w:r>
          </w:p>
        </w:tc>
        <w:tc>
          <w:tcPr>
            <w:tcW w:type="dxa" w:w="3288"/>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Why it matters</w:t>
            </w:r>
          </w:p>
        </w:tc>
        <w:tc>
          <w:tcPr>
            <w:tcW w:type="dxa" w:w="3231"/>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Mitigation</w:t>
            </w:r>
          </w:p>
        </w:tc>
      </w:tr>
      <w:tr>
        <w:trPr>
          <w:cantSplit/>
        </w:trPr>
        <w:tc>
          <w:tcPr>
            <w:tcW w:type="dxa" w:w="1928"/>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5"/>
              </w:rPr>
              <w:t>Simulation semantics expand too quickly</w:t>
            </w:r>
          </w:p>
        </w:tc>
        <w:tc>
          <w:tcPr>
            <w:tcW w:type="dxa" w:w="907"/>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High</w:t>
            </w:r>
          </w:p>
        </w:tc>
        <w:tc>
          <w:tcPr>
            <w:tcW w:type="dxa" w:w="328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BPMN breadth creates correctness ambiguity and schedule risk.</w:t>
            </w:r>
          </w:p>
        </w:tc>
        <w:tc>
          <w:tcPr>
            <w:tcW w:type="dxa" w:w="323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Freeze supported construct list; promote advanced semantics only after tested domain behavior.</w:t>
            </w:r>
          </w:p>
        </w:tc>
      </w:tr>
      <w:tr>
        <w:trPr>
          <w:cantSplit/>
        </w:trPr>
        <w:tc>
          <w:tcPr>
            <w:tcW w:type="dxa" w:w="1928"/>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5"/>
              </w:rPr>
              <w:t>bpmn-js license/branding constraint</w:t>
            </w:r>
          </w:p>
        </w:tc>
        <w:tc>
          <w:tcPr>
            <w:tcW w:type="dxa" w:w="907"/>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Medium</w:t>
            </w:r>
          </w:p>
        </w:tc>
        <w:tc>
          <w:tcPr>
            <w:tcW w:type="dxa" w:w="328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Required watermark may affect white-label visual expectations.</w:t>
            </w:r>
          </w:p>
        </w:tc>
        <w:tc>
          <w:tcPr>
            <w:tcW w:type="dxa" w:w="3231"/>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Preserve watermark; include license review in release gate; consider a custom simplified modeler only if future white-label requirements justify cost.</w:t>
            </w:r>
          </w:p>
        </w:tc>
      </w:tr>
      <w:tr>
        <w:trPr>
          <w:cantSplit/>
        </w:trPr>
        <w:tc>
          <w:tcPr>
            <w:tcW w:type="dxa" w:w="1928"/>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5"/>
              </w:rPr>
              <w:t>Browser storage loss</w:t>
            </w:r>
          </w:p>
        </w:tc>
        <w:tc>
          <w:tcPr>
            <w:tcW w:type="dxa" w:w="907"/>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High</w:t>
            </w:r>
          </w:p>
        </w:tc>
        <w:tc>
          <w:tcPr>
            <w:tcW w:type="dxa" w:w="328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Users may clear site data or change devices.</w:t>
            </w:r>
          </w:p>
        </w:tc>
        <w:tc>
          <w:tcPr>
            <w:tcW w:type="dxa" w:w="323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Visible local-save messaging; export reminders; portable project package.</w:t>
            </w:r>
          </w:p>
        </w:tc>
      </w:tr>
      <w:tr>
        <w:trPr>
          <w:cantSplit/>
        </w:trPr>
        <w:tc>
          <w:tcPr>
            <w:tcW w:type="dxa" w:w="1928"/>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5"/>
              </w:rPr>
              <w:t>Large simulations exhaust resources</w:t>
            </w:r>
          </w:p>
        </w:tc>
        <w:tc>
          <w:tcPr>
            <w:tcW w:type="dxa" w:w="907"/>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Medium</w:t>
            </w:r>
          </w:p>
        </w:tc>
        <w:tc>
          <w:tcPr>
            <w:tcW w:type="dxa" w:w="328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CPU/memory limits vary across devices.</w:t>
            </w:r>
          </w:p>
        </w:tc>
        <w:tc>
          <w:tcPr>
            <w:tcW w:type="dxa" w:w="3231"/>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Worker execution, caps, cancellation, incremental aggregation, benchmark-derived warnings.</w:t>
            </w:r>
          </w:p>
        </w:tc>
      </w:tr>
      <w:tr>
        <w:trPr>
          <w:cantSplit/>
        </w:trPr>
        <w:tc>
          <w:tcPr>
            <w:tcW w:type="dxa" w:w="1928"/>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5"/>
              </w:rPr>
              <w:t>Charts imply false certainty</w:t>
            </w:r>
          </w:p>
        </w:tc>
        <w:tc>
          <w:tcPr>
            <w:tcW w:type="dxa" w:w="907"/>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Medium</w:t>
            </w:r>
          </w:p>
        </w:tc>
        <w:tc>
          <w:tcPr>
            <w:tcW w:type="dxa" w:w="328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Users may overtrust model assumptions.</w:t>
            </w:r>
          </w:p>
        </w:tc>
        <w:tc>
          <w:tcPr>
            <w:tcW w:type="dxa" w:w="323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Show assumptions/run metadata; explain simulation nature; surface uncertainty/percentiles.</w:t>
            </w:r>
          </w:p>
        </w:tc>
      </w:tr>
      <w:tr>
        <w:trPr>
          <w:cantSplit/>
        </w:trPr>
        <w:tc>
          <w:tcPr>
            <w:tcW w:type="dxa" w:w="1928"/>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5"/>
              </w:rPr>
              <w:t>Imported BPMN differs from simulation model</w:t>
            </w:r>
          </w:p>
        </w:tc>
        <w:tc>
          <w:tcPr>
            <w:tcW w:type="dxa" w:w="907"/>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High</w:t>
            </w:r>
          </w:p>
        </w:tc>
        <w:tc>
          <w:tcPr>
            <w:tcW w:type="dxa" w:w="328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Unsupported constructs could produce misleading results.</w:t>
            </w:r>
          </w:p>
        </w:tc>
        <w:tc>
          <w:tcPr>
            <w:tcW w:type="dxa" w:w="3231"/>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Fail visibly; explicit support classification; never silently reinterpret unsupported behavior.</w:t>
            </w:r>
          </w:p>
        </w:tc>
      </w:tr>
      <w:tr>
        <w:trPr>
          <w:cantSplit/>
        </w:trPr>
        <w:tc>
          <w:tcPr>
            <w:tcW w:type="dxa" w:w="1928"/>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5"/>
              </w:rPr>
              <w:t>Scope drifts into workflow engine</w:t>
            </w:r>
          </w:p>
        </w:tc>
        <w:tc>
          <w:tcPr>
            <w:tcW w:type="dxa" w:w="907"/>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High</w:t>
            </w:r>
          </w:p>
        </w:tc>
        <w:tc>
          <w:tcPr>
            <w:tcW w:type="dxa" w:w="328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Project becomes too large for solo delivery and dilutes portfolio message.</w:t>
            </w:r>
          </w:p>
        </w:tc>
        <w:tc>
          <w:tcPr>
            <w:tcW w:type="dxa" w:w="323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Maintain out-of-scope list and product thesis as backlog gate.</w:t>
            </w:r>
          </w:p>
        </w:tc>
      </w:tr>
      <w:tr>
        <w:trPr>
          <w:cantSplit/>
        </w:trPr>
        <w:tc>
          <w:tcPr>
            <w:tcW w:type="dxa" w:w="1928"/>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5"/>
              </w:rPr>
              <w:t>Free-service assumption changes</w:t>
            </w:r>
          </w:p>
        </w:tc>
        <w:tc>
          <w:tcPr>
            <w:tcW w:type="dxa" w:w="907"/>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Low for core</w:t>
            </w:r>
          </w:p>
        </w:tc>
        <w:tc>
          <w:tcPr>
            <w:tcW w:type="dxa" w:w="3288"/>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Third-party plan changes can create hidden cost.</w:t>
            </w:r>
          </w:p>
        </w:tc>
        <w:tc>
          <w:tcPr>
            <w:tcW w:type="dxa" w:w="3231"/>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Core runtime uses no SaaS dependency; revalidate optional hosting/service terms at deployment time.</w:t>
            </w:r>
          </w:p>
        </w:tc>
      </w:tr>
      <w:tr>
        <w:trPr>
          <w:cantSplit/>
        </w:trPr>
        <w:tc>
          <w:tcPr>
            <w:tcW w:type="dxa" w:w="1928"/>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5"/>
              </w:rPr>
              <w:t>Accessibility of graphical modeler</w:t>
            </w:r>
          </w:p>
        </w:tc>
        <w:tc>
          <w:tcPr>
            <w:tcW w:type="dxa" w:w="907"/>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Medium</w:t>
            </w:r>
          </w:p>
        </w:tc>
        <w:tc>
          <w:tcPr>
            <w:tcW w:type="dxa" w:w="3288"/>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Canvas interactions may be difficult for keyboard/screen-reader users.</w:t>
            </w:r>
          </w:p>
        </w:tc>
        <w:tc>
          <w:tcPr>
            <w:tcW w:type="dxa" w:w="3231"/>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Process Outline, keyboard-accessible inspector, focus navigation and documented modeler limitations.</w:t>
            </w:r>
          </w:p>
        </w:tc>
      </w:tr>
    </w:tbl>
    <w:p>
      <w:pPr>
        <w:spacing w:after="0"/>
      </w:pPr>
    </w:p>
    <w:p>
      <w:pPr>
        <w:pStyle w:val="Heading2"/>
        <w:keepNext/>
        <w:spacing w:before="140" w:after="60" w:line="269" w:lineRule="auto"/>
      </w:pPr>
      <w:r>
        <w:rPr>
          <w:rFonts w:ascii="Inter Display" w:hAnsi="Inter Display" w:eastAsia="Inter Display"/>
          <w:b/>
          <w:color w:val="7B0F22"/>
          <w:sz w:val="23"/>
        </w:rPr>
        <w:t>Key assumptions</w:t>
      </w:r>
    </w:p>
    <w:p>
      <w:pPr>
        <w:pStyle w:val="ListBullet"/>
        <w:spacing w:before="0" w:after="80" w:line="259" w:lineRule="auto"/>
      </w:pPr>
      <w:r>
        <w:rPr>
          <w:rFonts w:ascii="Inter" w:hAnsi="Inter" w:eastAsia="Inter"/>
          <w:color w:val="20242A"/>
          <w:sz w:val="18"/>
        </w:rPr>
        <w:t>The initial product is a portfolio/client demonstration and potential product seed, not a regulated workflow system.</w:t>
      </w:r>
    </w:p>
    <w:p>
      <w:pPr>
        <w:pStyle w:val="ListBullet"/>
        <w:spacing w:before="0" w:after="80" w:line="259" w:lineRule="auto"/>
      </w:pPr>
      <w:r>
        <w:rPr>
          <w:rFonts w:ascii="Inter" w:hAnsi="Inter" w:eastAsia="Inter"/>
          <w:color w:val="20242A"/>
          <w:sz w:val="18"/>
        </w:rPr>
        <w:t>Users can provide reasonable duration/cost/probability assumptions; AridentFlow does not infer ground truth from insufficient data.</w:t>
      </w:r>
    </w:p>
    <w:p>
      <w:pPr>
        <w:pStyle w:val="ListBullet"/>
        <w:spacing w:before="0" w:after="80" w:line="259" w:lineRule="auto"/>
      </w:pPr>
      <w:r>
        <w:rPr>
          <w:rFonts w:ascii="Inter" w:hAnsi="Inter" w:eastAsia="Inter"/>
          <w:color w:val="20242A"/>
          <w:sz w:val="18"/>
        </w:rPr>
        <w:t>BPMN import is valuable even when simulation supports a controlled subset, provided unsupported behavior is explicit.</w:t>
      </w:r>
    </w:p>
    <w:p>
      <w:pPr>
        <w:pStyle w:val="ListBullet"/>
        <w:spacing w:before="0" w:after="80" w:line="259" w:lineRule="auto"/>
      </w:pPr>
      <w:r>
        <w:rPr>
          <w:rFonts w:ascii="Inter" w:hAnsi="Inter" w:eastAsia="Inter"/>
          <w:color w:val="20242A"/>
          <w:sz w:val="18"/>
        </w:rPr>
        <w:t>The target buyer values privacy, visual explanation and low-friction experimentation more than real-time collaboration in the first release.</w:t>
      </w:r>
    </w:p>
    <w:p>
      <w:pPr>
        <w:pStyle w:val="ListBullet"/>
        <w:spacing w:before="0" w:after="80" w:line="259" w:lineRule="auto"/>
      </w:pPr>
      <w:r>
        <w:rPr>
          <w:rFonts w:ascii="Inter" w:hAnsi="Inter" w:eastAsia="Inter"/>
          <w:color w:val="20242A"/>
          <w:sz w:val="18"/>
        </w:rPr>
        <w:t>The product remains useful without AI; AI is an optional future enhancement, not a dependency.</w:t>
      </w:r>
    </w:p>
    <w:p>
      <w:pPr>
        <w:pStyle w:val="Heading1"/>
        <w:keepNext/>
        <w:spacing w:before="200" w:after="80" w:line="269" w:lineRule="auto"/>
      </w:pPr>
      <w:r>
        <w:rPr>
          <w:rFonts w:ascii="Inter Display" w:hAnsi="Inter Display" w:eastAsia="Inter Display"/>
          <w:b/>
          <w:color w:val="B87333"/>
          <w:sz w:val="22"/>
        </w:rPr>
        <w:t>27</w:t>
      </w:r>
      <w:r>
        <w:rPr>
          <w:rFonts w:ascii="Inter Display" w:hAnsi="Inter Display" w:eastAsia="Inter Display"/>
          <w:b/>
          <w:color w:val="5A0F1A"/>
          <w:sz w:val="36"/>
        </w:rPr>
        <w:t xml:space="preserve">  Portfolio and Business Value</w:t>
      </w:r>
    </w:p>
    <w:p>
      <w:pPr>
        <w:spacing w:before="0" w:after="140" w:line="269" w:lineRule="auto"/>
      </w:pPr>
      <w:r>
        <w:rPr>
          <w:rFonts w:ascii="Inter" w:hAnsi="Inter" w:eastAsia="Inter"/>
          <w:i/>
          <w:color w:val="667085"/>
          <w:sz w:val="18"/>
        </w:rPr>
        <w:t>Why AridentFlow is an unusually strong demonstration of AridentRIS engineering and product capability.</w:t>
      </w:r>
    </w:p>
    <w:p>
      <w:pPr>
        <w:spacing w:before="0" w:after="140" w:line="269" w:lineRule="auto"/>
        <w:pBdr>
          <w:bottom w:val="single" w:sz="7" w:space="1" w:color="C9B2B5"/>
        </w:pBdr>
      </w:pPr>
    </w:p>
    <w:p>
      <w:pPr>
        <w:pStyle w:val="Heading2"/>
        <w:keepNext/>
        <w:spacing w:before="140" w:after="60" w:line="269" w:lineRule="auto"/>
      </w:pPr>
      <w:r>
        <w:rPr>
          <w:rFonts w:ascii="Inter Display" w:hAnsi="Inter Display" w:eastAsia="Inter Display"/>
          <w:b/>
          <w:color w:val="7B0F22"/>
          <w:sz w:val="23"/>
        </w:rPr>
        <w:t>Technical showcase value</w:t>
      </w:r>
    </w:p>
    <w:tbl>
      <w:tblPr>
        <w:tblStyle w:val="TableGrid"/>
        <w:tblW w:type="auto" w:w="0"/>
        <w:jc w:val="center"/>
        <w:tblLook w:firstColumn="1" w:firstRow="1" w:lastColumn="0" w:lastRow="0" w:noHBand="0" w:noVBand="1" w:val="04A0"/>
      </w:tblPr>
      <w:tblGrid>
        <w:gridCol w:w="5046"/>
        <w:gridCol w:w="5046"/>
      </w:tblGrid>
      <w:tr>
        <w:trPr>
          <w:tblHeader w:val="true"/>
        </w:trPr>
        <w:tc>
          <w:tcPr>
            <w:tcW w:type="dxa" w:w="2665"/>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Capability demonstrated</w:t>
            </w:r>
          </w:p>
        </w:tc>
        <w:tc>
          <w:tcPr>
            <w:tcW w:type="dxa" w:w="6690"/>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Evidence inside AridentFlow</w:t>
            </w:r>
          </w:p>
        </w:tc>
      </w:tr>
      <w:tr>
        <w:trPr>
          <w:cantSplit/>
        </w:trPr>
        <w:tc>
          <w:tcPr>
            <w:tcW w:type="dxa" w:w="2665"/>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Frontend architecture</w:t>
            </w:r>
          </w:p>
        </w:tc>
        <w:tc>
          <w:tcPr>
            <w:tcW w:type="dxa" w:w="669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Next.js/TypeScript feature boundaries, professional modeler UI and analytics workspace.</w:t>
            </w:r>
          </w:p>
        </w:tc>
      </w:tr>
      <w:tr>
        <w:trPr>
          <w:cantSplit/>
        </w:trPr>
        <w:tc>
          <w:tcPr>
            <w:tcW w:type="dxa" w:w="2665"/>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Domain modeling</w:t>
            </w:r>
          </w:p>
        </w:tc>
        <w:tc>
          <w:tcPr>
            <w:tcW w:type="dxa" w:w="669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Explicit process graph, scenarios, simulation semantics and invariants independent of UI frameworks.</w:t>
            </w:r>
          </w:p>
        </w:tc>
      </w:tr>
      <w:tr>
        <w:trPr>
          <w:cantSplit/>
        </w:trPr>
        <w:tc>
          <w:tcPr>
            <w:tcW w:type="dxa" w:w="2665"/>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Algorithms/statistics</w:t>
            </w:r>
          </w:p>
        </w:tc>
        <w:tc>
          <w:tcPr>
            <w:tcW w:type="dxa" w:w="669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Graph traversal, seeded randomness, distributions, percentiles, path contribution and bottleneck analysis.</w:t>
            </w:r>
          </w:p>
        </w:tc>
      </w:tr>
      <w:tr>
        <w:trPr>
          <w:cantSplit/>
        </w:trPr>
        <w:tc>
          <w:tcPr>
            <w:tcW w:type="dxa" w:w="2665"/>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Browser engineering</w:t>
            </w:r>
          </w:p>
        </w:tc>
        <w:tc>
          <w:tcPr>
            <w:tcW w:type="dxa" w:w="669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IndexedDB, Web Workers, file APIs, local-first persistence and static deployment.</w:t>
            </w:r>
          </w:p>
        </w:tc>
      </w:tr>
      <w:tr>
        <w:trPr>
          <w:cantSplit/>
        </w:trPr>
        <w:tc>
          <w:tcPr>
            <w:tcW w:type="dxa" w:w="2665"/>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Data visualization</w:t>
            </w:r>
          </w:p>
        </w:tc>
        <w:tc>
          <w:tcPr>
            <w:tcW w:type="dxa" w:w="669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Explainable distributions, KPI hierarchy, contribution analysis and scenario deltas.</w:t>
            </w:r>
          </w:p>
        </w:tc>
      </w:tr>
      <w:tr>
        <w:trPr>
          <w:cantSplit/>
        </w:trPr>
        <w:tc>
          <w:tcPr>
            <w:tcW w:type="dxa" w:w="2665"/>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Quality engineering</w:t>
            </w:r>
          </w:p>
        </w:tc>
        <w:tc>
          <w:tcPr>
            <w:tcW w:type="dxa" w:w="669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Property tests, deterministic fixtures, E2E flows, migration tests and accessibility checks.</w:t>
            </w:r>
          </w:p>
        </w:tc>
      </w:tr>
      <w:tr>
        <w:trPr>
          <w:cantSplit/>
        </w:trPr>
        <w:tc>
          <w:tcPr>
            <w:tcW w:type="dxa" w:w="2665"/>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Security thinking</w:t>
            </w:r>
          </w:p>
        </w:tc>
        <w:tc>
          <w:tcPr>
            <w:tcW w:type="dxa" w:w="669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Untrusted imports, CSP, no client secrets, dependency governance and privacy-aware design.</w:t>
            </w:r>
          </w:p>
        </w:tc>
      </w:tr>
      <w:tr>
        <w:trPr>
          <w:cantSplit/>
        </w:trPr>
        <w:tc>
          <w:tcPr>
            <w:tcW w:type="dxa" w:w="2665"/>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Product strategy</w:t>
            </w:r>
          </w:p>
        </w:tc>
        <w:tc>
          <w:tcPr>
            <w:tcW w:type="dxa" w:w="669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Clear user problem, controlled MVP, outcome metrics and credible evolution roadmap.</w:t>
            </w:r>
          </w:p>
        </w:tc>
      </w:tr>
    </w:tbl>
    <w:p>
      <w:pPr>
        <w:spacing w:after="0"/>
      </w:pPr>
    </w:p>
    <w:p>
      <w:pPr>
        <w:pStyle w:val="Heading2"/>
        <w:keepNext/>
        <w:spacing w:before="140" w:after="60" w:line="269" w:lineRule="auto"/>
      </w:pPr>
      <w:r>
        <w:rPr>
          <w:rFonts w:ascii="Inter Display" w:hAnsi="Inter Display" w:eastAsia="Inter Display"/>
          <w:b/>
          <w:color w:val="7B0F22"/>
          <w:sz w:val="23"/>
        </w:rPr>
        <w:t>Client showcase narrative</w:t>
      </w:r>
    </w:p>
    <w:p>
      <w:pPr>
        <w:pStyle w:val="BodyText"/>
        <w:spacing w:before="0" w:after="100" w:line="269" w:lineRule="auto"/>
      </w:pPr>
      <w:r>
        <w:rPr>
          <w:rFonts w:ascii="Inter" w:hAnsi="Inter" w:eastAsia="Inter"/>
          <w:i w:val="0"/>
          <w:color w:val="20242A"/>
        </w:rPr>
        <w:t>The strongest demonstration is not “look at this BPMN editor.” It is a short operational story in which a stakeholder sees a process problem, observes the measured constraint, tests a proposed intervention and receives a quantified result.</w:t>
      </w:r>
    </w:p>
    <w:tbl>
      <w:tblPr>
        <w:tblW w:type="auto" w:w="0"/>
        <w:jc w:val="center"/>
        <w:tblLayout w:type="autofit"/>
        <w:tblLook w:firstColumn="1" w:firstRow="1" w:lastColumn="0" w:lastRow="0" w:noHBand="0" w:noVBand="1" w:val="04A0"/>
      </w:tblPr>
      <w:tblGrid>
        <w:gridCol w:w="10092"/>
      </w:tblGrid>
      <w:tr>
        <w:trPr>
          <w:cantSplit/>
        </w:trPr>
        <w:tc>
          <w:tcPr>
            <w:tcW w:type="dxa" w:w="10092"/>
            <w:shd w:fill="FBF7EE"/>
            <w:tcMar>
              <w:top w:w="120" w:type="dxa"/>
              <w:start w:w="180" w:type="dxa"/>
              <w:bottom w:w="120" w:type="dxa"/>
              <w:end w:w="180" w:type="dxa"/>
            </w:tcMar>
            <w:tcBorders>
              <w:top w:val="nil"/>
              <w:left w:val="single" w:sz="20" w:color="B87333"/>
              <w:bottom w:val="nil"/>
              <w:right w:val="nil"/>
            </w:tcBorders>
          </w:tcPr>
          <w:p>
            <w:pPr>
              <w:spacing w:before="0" w:after="60" w:line="269" w:lineRule="auto"/>
            </w:pPr>
            <w:r>
              <w:rPr>
                <w:rFonts w:ascii="Inter" w:hAnsi="Inter" w:eastAsia="Inter"/>
                <w:b/>
                <w:color w:val="B87333"/>
                <w:sz w:val="16"/>
              </w:rPr>
              <w:t>RECOMMENDED DEMO STORY</w:t>
            </w:r>
          </w:p>
          <w:p>
            <w:pPr>
              <w:spacing w:before="0" w:after="0" w:line="269" w:lineRule="auto"/>
            </w:pPr>
            <w:r>
              <w:rPr>
                <w:rFonts w:ascii="Inter" w:hAnsi="Inter" w:eastAsia="Inter"/>
                <w:color w:val="20242A"/>
                <w:sz w:val="18"/>
              </w:rPr>
              <w:t>A purchase approval process misses its 24-hour SLA. Run the baseline, show P95 and SLA risk, identify Manager Approval as the dominant contributor, duplicate the scenario, reduce approval delay for low-value purchases, rerun, and show the improvement with an executive summary.</w:t>
            </w:r>
          </w:p>
        </w:tc>
      </w:tr>
    </w:tbl>
    <w:p>
      <w:pPr>
        <w:spacing w:after="0"/>
      </w:pPr>
    </w:p>
    <w:p>
      <w:pPr>
        <w:pStyle w:val="Heading2"/>
        <w:keepNext/>
        <w:spacing w:before="140" w:after="60" w:line="269" w:lineRule="auto"/>
      </w:pPr>
      <w:r>
        <w:rPr>
          <w:rFonts w:ascii="Inter Display" w:hAnsi="Inter Display" w:eastAsia="Inter Display"/>
          <w:b/>
          <w:color w:val="7B0F22"/>
          <w:sz w:val="23"/>
        </w:rPr>
        <w:t>Business expansion paths</w:t>
      </w:r>
    </w:p>
    <w:tbl>
      <w:tblPr>
        <w:tblStyle w:val="TableGrid"/>
        <w:tblW w:type="auto" w:w="0"/>
        <w:jc w:val="center"/>
        <w:tblLook w:firstColumn="1" w:firstRow="1" w:lastColumn="0" w:lastRow="0" w:noHBand="0" w:noVBand="1" w:val="04A0"/>
      </w:tblPr>
      <w:tblGrid>
        <w:gridCol w:w="5046"/>
        <w:gridCol w:w="5046"/>
      </w:tblGrid>
      <w:tr>
        <w:trPr>
          <w:tblHeader w:val="true"/>
        </w:trPr>
        <w:tc>
          <w:tcPr>
            <w:tcW w:type="dxa" w:w="2324"/>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Path</w:t>
            </w:r>
          </w:p>
        </w:tc>
        <w:tc>
          <w:tcPr>
            <w:tcW w:type="dxa" w:w="7030"/>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Commercial direction</w:t>
            </w:r>
          </w:p>
        </w:tc>
      </w:tr>
      <w:tr>
        <w:trPr>
          <w:cantSplit/>
        </w:trPr>
        <w:tc>
          <w:tcPr>
            <w:tcW w:type="dxa" w:w="2324"/>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Consulting accelerator</w:t>
            </w:r>
          </w:p>
        </w:tc>
        <w:tc>
          <w:tcPr>
            <w:tcW w:type="dxa" w:w="703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Use AridentFlow in discovery workshops to quantify process-change recommendations.</w:t>
            </w:r>
          </w:p>
        </w:tc>
      </w:tr>
      <w:tr>
        <w:trPr>
          <w:cantSplit/>
        </w:trPr>
        <w:tc>
          <w:tcPr>
            <w:tcW w:type="dxa" w:w="2324"/>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Lead-generation product</w:t>
            </w:r>
          </w:p>
        </w:tc>
        <w:tc>
          <w:tcPr>
            <w:tcW w:type="dxa" w:w="703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Offer a polished public/local-first tool that demonstrates AridentRIS engineering capability.</w:t>
            </w:r>
          </w:p>
        </w:tc>
      </w:tr>
      <w:tr>
        <w:trPr>
          <w:cantSplit/>
        </w:trPr>
        <w:tc>
          <w:tcPr>
            <w:tcW w:type="dxa" w:w="2324"/>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Vertical solution</w:t>
            </w:r>
          </w:p>
        </w:tc>
        <w:tc>
          <w:tcPr>
            <w:tcW w:type="dxa" w:w="703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Package templates and analytics for a specific domain such as approvals, onboarding or support operations.</w:t>
            </w:r>
          </w:p>
        </w:tc>
      </w:tr>
      <w:tr>
        <w:trPr>
          <w:cantSplit/>
        </w:trPr>
        <w:tc>
          <w:tcPr>
            <w:tcW w:type="dxa" w:w="2324"/>
            <w:shd w:fill="FAF8F7"/>
            <w:tcMar>
              <w:top w:w="85" w:type="dxa"/>
              <w:start w:w="100" w:type="dxa"/>
              <w:bottom w:w="85" w:type="dxa"/>
              <w:end w:w="100" w:type="dxa"/>
            </w:tcMar>
            <w:vAlign w:val="top"/>
          </w:tcPr>
          <w:p>
            <w:pPr>
              <w:spacing w:before="0" w:after="0" w:line="252" w:lineRule="auto"/>
            </w:pPr>
            <w:r>
              <w:rPr>
                <w:rFonts w:ascii="Inter" w:hAnsi="Inter" w:eastAsia="Inter"/>
                <w:b/>
                <w:color w:val="20242A"/>
                <w:sz w:val="16"/>
              </w:rPr>
              <w:t>Team SaaS</w:t>
            </w:r>
          </w:p>
        </w:tc>
        <w:tc>
          <w:tcPr>
            <w:tcW w:type="dxa" w:w="7030"/>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Add secure cloud workspaces, collaboration and governance when recurring team usage is validated.</w:t>
            </w:r>
          </w:p>
        </w:tc>
      </w:tr>
      <w:tr>
        <w:trPr>
          <w:cantSplit/>
        </w:trPr>
        <w:tc>
          <w:tcPr>
            <w:tcW w:type="dxa" w:w="2324"/>
            <w:shd w:fill="FFFFFF"/>
            <w:tcMar>
              <w:top w:w="85" w:type="dxa"/>
              <w:start w:w="100" w:type="dxa"/>
              <w:bottom w:w="85" w:type="dxa"/>
              <w:end w:w="100" w:type="dxa"/>
            </w:tcMar>
            <w:vAlign w:val="top"/>
          </w:tcPr>
          <w:p>
            <w:pPr>
              <w:spacing w:before="0" w:after="0" w:line="252" w:lineRule="auto"/>
            </w:pPr>
            <w:r>
              <w:rPr>
                <w:rFonts w:ascii="Inter" w:hAnsi="Inter" w:eastAsia="Inter"/>
                <w:b/>
                <w:color w:val="20242A"/>
                <w:sz w:val="16"/>
              </w:rPr>
              <w:t>Enterprise platform</w:t>
            </w:r>
          </w:p>
        </w:tc>
        <w:tc>
          <w:tcPr>
            <w:tcW w:type="dxa" w:w="7030"/>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6"/>
              </w:rPr>
              <w:t>Expand into process mining, capacity simulation, integration and controlled optimization.</w:t>
            </w:r>
          </w:p>
        </w:tc>
      </w:tr>
    </w:tbl>
    <w:p>
      <w:pPr>
        <w:spacing w:after="0"/>
      </w:pPr>
    </w:p>
    <w:p>
      <w:pPr>
        <w:pStyle w:val="Heading2"/>
        <w:keepNext/>
        <w:spacing w:before="140" w:after="60" w:line="269" w:lineRule="auto"/>
      </w:pPr>
      <w:r>
        <w:rPr>
          <w:rFonts w:ascii="Inter Display" w:hAnsi="Inter Display" w:eastAsia="Inter Display"/>
          <w:b/>
          <w:color w:val="7B0F22"/>
          <w:sz w:val="23"/>
        </w:rPr>
        <w:t>Product definition summary</w:t>
      </w:r>
    </w:p>
    <w:tbl>
      <w:tblPr>
        <w:tblW w:type="auto" w:w="0"/>
        <w:jc w:val="center"/>
        <w:tblLayout w:type="autofit"/>
        <w:tblLook w:firstColumn="1" w:firstRow="1" w:lastColumn="0" w:lastRow="0" w:noHBand="0" w:noVBand="1" w:val="04A0"/>
      </w:tblPr>
      <w:tblGrid>
        <w:gridCol w:w="10092"/>
      </w:tblGrid>
      <w:tr>
        <w:trPr>
          <w:cantSplit/>
        </w:trPr>
        <w:tc>
          <w:tcPr>
            <w:tcW w:type="dxa" w:w="10092"/>
            <w:shd w:fill="F7F2F1"/>
            <w:tcMar>
              <w:top w:w="120" w:type="dxa"/>
              <w:start w:w="180" w:type="dxa"/>
              <w:bottom w:w="120" w:type="dxa"/>
              <w:end w:w="180" w:type="dxa"/>
            </w:tcMar>
            <w:tcBorders>
              <w:top w:val="nil"/>
              <w:left w:val="single" w:sz="20" w:color="5A0F1A"/>
              <w:bottom w:val="nil"/>
              <w:right w:val="nil"/>
            </w:tcBorders>
          </w:tcPr>
          <w:p>
            <w:pPr>
              <w:spacing w:before="0" w:after="60" w:line="269" w:lineRule="auto"/>
            </w:pPr>
            <w:r>
              <w:rPr>
                <w:rFonts w:ascii="Inter" w:hAnsi="Inter" w:eastAsia="Inter"/>
                <w:b/>
                <w:color w:val="5A0F1A"/>
                <w:sz w:val="16"/>
              </w:rPr>
              <w:t>ARIDENTFLOW</w:t>
            </w:r>
          </w:p>
          <w:p>
            <w:pPr>
              <w:spacing w:before="0" w:after="0" w:line="269" w:lineRule="auto"/>
            </w:pPr>
            <w:r>
              <w:rPr>
                <w:rFonts w:ascii="Inter" w:hAnsi="Inter" w:eastAsia="Inter"/>
                <w:color w:val="20242A"/>
                <w:sz w:val="18"/>
              </w:rPr>
              <w:t>AridentFlow by AridentRIS is a local-first business process simulation and optimization studio that transforms workflow models and operational assumptions into reproducible evidence about cycle time, cost, SLA risk and improvement opportunities.</w:t>
            </w:r>
          </w:p>
        </w:tc>
      </w:tr>
    </w:tbl>
    <w:p>
      <w:pPr>
        <w:spacing w:after="0"/>
      </w:pPr>
    </w:p>
    <w:p>
      <w:pPr>
        <w:spacing w:before="280" w:after="40" w:line="269" w:lineRule="auto"/>
        <w:jc w:val="center"/>
      </w:pPr>
      <w:r>
        <w:rPr>
          <w:rFonts w:ascii="Inter Display" w:hAnsi="Inter Display" w:eastAsia="Inter Display"/>
          <w:b/>
          <w:color w:val="5A0F1A"/>
          <w:sz w:val="30"/>
        </w:rPr>
        <w:t>MODEL  →  SIMULATE  →  IMPROVE</w:t>
      </w:r>
    </w:p>
    <w:p>
      <w:pPr>
        <w:spacing w:before="0" w:after="240" w:line="269" w:lineRule="auto"/>
        <w:jc w:val="center"/>
      </w:pPr>
      <w:r>
        <w:rPr>
          <w:rFonts w:ascii="Inter" w:hAnsi="Inter" w:eastAsia="Inter"/>
          <w:b/>
          <w:color w:val="B87333"/>
          <w:sz w:val="18"/>
        </w:rPr>
        <w:t>Private by default. Decision-oriented by design.</w:t>
      </w:r>
    </w:p>
    <w:p>
      <w:r>
        <w:br w:type="page"/>
      </w:r>
    </w:p>
    <w:p>
      <w:pPr>
        <w:spacing w:before="0" w:after="20" w:line="269" w:lineRule="auto"/>
      </w:pPr>
      <w:r>
        <w:rPr>
          <w:rFonts w:ascii="Inter" w:hAnsi="Inter" w:eastAsia="Inter"/>
          <w:b/>
          <w:color w:val="B87333"/>
          <w:sz w:val="16"/>
        </w:rPr>
        <w:t>APPENDIX</w:t>
      </w:r>
    </w:p>
    <w:p>
      <w:pPr>
        <w:pStyle w:val="Heading1"/>
        <w:spacing w:before="0" w:after="80" w:line="269" w:lineRule="auto"/>
      </w:pPr>
      <w:r>
        <w:rPr>
          <w:rFonts w:ascii="Inter Display" w:hAnsi="Inter Display" w:eastAsia="Inter Display"/>
          <w:b/>
          <w:color w:val="5A0F1A"/>
          <w:sz w:val="36"/>
        </w:rPr>
        <w:t>Technology &amp; Licensing Reference Notes</w:t>
      </w:r>
    </w:p>
    <w:p>
      <w:pPr>
        <w:spacing w:before="0" w:after="120" w:line="269" w:lineRule="auto"/>
        <w:pBdr>
          <w:bottom w:val="single" w:sz="7" w:space="1" w:color="C9B2B5"/>
        </w:pBdr>
      </w:pPr>
    </w:p>
    <w:p>
      <w:pPr>
        <w:pStyle w:val="BodyText"/>
        <w:spacing w:before="0" w:after="100" w:line="269" w:lineRule="auto"/>
      </w:pPr>
      <w:r>
        <w:rPr>
          <w:rFonts w:ascii="Inter" w:hAnsi="Inter" w:eastAsia="Inter"/>
          <w:i w:val="0"/>
          <w:color w:val="20242A"/>
        </w:rPr>
        <w:t>The following official project/documentation sources were used as technical reference points when defining the stack. License and service terms can change; the dependency inventory must be revalidated before each public/commercial release.</w:t>
      </w: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2324"/>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Reference</w:t>
            </w:r>
          </w:p>
        </w:tc>
        <w:tc>
          <w:tcPr>
            <w:tcW w:type="dxa" w:w="3515"/>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Official location</w:t>
            </w:r>
          </w:p>
        </w:tc>
        <w:tc>
          <w:tcPr>
            <w:tcW w:type="dxa" w:w="3515"/>
            <w:shd w:fill="5A0F1A"/>
            <w:tcMar>
              <w:top w:w="95" w:type="dxa"/>
              <w:start w:w="100" w:type="dxa"/>
              <w:bottom w:w="95" w:type="dxa"/>
              <w:end w:w="100" w:type="dxa"/>
            </w:tcMar>
            <w:vAlign w:val="center"/>
          </w:tcPr>
          <w:p>
            <w:pPr>
              <w:spacing w:before="0" w:after="0" w:line="240" w:lineRule="auto"/>
            </w:pPr>
            <w:r>
              <w:rPr>
                <w:rFonts w:ascii="Inter" w:hAnsi="Inter" w:eastAsia="Inter"/>
                <w:b/>
                <w:color w:val="FFFFFF"/>
                <w:sz w:val="16"/>
              </w:rPr>
              <w:t>Why it matters</w:t>
            </w:r>
          </w:p>
        </w:tc>
      </w:tr>
      <w:tr>
        <w:trPr>
          <w:cantSplit/>
        </w:trPr>
        <w:tc>
          <w:tcPr>
            <w:tcW w:type="dxa" w:w="2324"/>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Next.js — Static Exports</w:t>
            </w:r>
          </w:p>
        </w:tc>
        <w:tc>
          <w:tcPr>
            <w:tcW w:type="dxa" w:w="3515"/>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https://nextjs.org/docs/app/guides/static-exports</w:t>
            </w:r>
          </w:p>
        </w:tc>
        <w:tc>
          <w:tcPr>
            <w:tcW w:type="dxa" w:w="3515"/>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Static export produces deployable HTML/CSS/JavaScript and avoids a required Node.js runtime for supported routes.</w:t>
            </w:r>
          </w:p>
        </w:tc>
      </w:tr>
      <w:tr>
        <w:trPr>
          <w:cantSplit/>
        </w:trPr>
        <w:tc>
          <w:tcPr>
            <w:tcW w:type="dxa" w:w="2324"/>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bpmn.io License</w:t>
            </w:r>
          </w:p>
        </w:tc>
        <w:tc>
          <w:tcPr>
            <w:tcW w:type="dxa" w:w="3515"/>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https://bpmn.io/license/</w:t>
            </w:r>
          </w:p>
        </w:tc>
        <w:tc>
          <w:tcPr>
            <w:tcW w:type="dxa" w:w="3515"/>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Covers bpmn-js and requires the bpmn.io project watermark in rendered diagrams to remain present under the license terms.</w:t>
            </w:r>
          </w:p>
        </w:tc>
      </w:tr>
      <w:tr>
        <w:trPr>
          <w:cantSplit/>
        </w:trPr>
        <w:tc>
          <w:tcPr>
            <w:tcW w:type="dxa" w:w="2324"/>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Dexie.js</w:t>
            </w:r>
          </w:p>
        </w:tc>
        <w:tc>
          <w:tcPr>
            <w:tcW w:type="dxa" w:w="3515"/>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https://dexie.org/</w:t>
            </w:r>
          </w:p>
        </w:tc>
        <w:tc>
          <w:tcPr>
            <w:tcW w:type="dxa" w:w="3515"/>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IndexedDB wrapper used for local-first persistence; Dexie Cloud is a separate service and is not required.</w:t>
            </w:r>
          </w:p>
        </w:tc>
      </w:tr>
      <w:tr>
        <w:trPr>
          <w:cantSplit/>
        </w:trPr>
        <w:tc>
          <w:tcPr>
            <w:tcW w:type="dxa" w:w="2324"/>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Dexie.js repository/license</w:t>
            </w:r>
          </w:p>
        </w:tc>
        <w:tc>
          <w:tcPr>
            <w:tcW w:type="dxa" w:w="3515"/>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https://github.com/dexie/Dexie.js</w:t>
            </w:r>
          </w:p>
        </w:tc>
        <w:tc>
          <w:tcPr>
            <w:tcW w:type="dxa" w:w="3515"/>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Dexie.js project is distributed under Apache-2.0.</w:t>
            </w:r>
          </w:p>
        </w:tc>
      </w:tr>
      <w:tr>
        <w:trPr>
          <w:cantSplit/>
        </w:trPr>
        <w:tc>
          <w:tcPr>
            <w:tcW w:type="dxa" w:w="2324"/>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Apache ECharts</w:t>
            </w:r>
          </w:p>
        </w:tc>
        <w:tc>
          <w:tcPr>
            <w:tcW w:type="dxa" w:w="3515"/>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https://echarts.apache.org/download.html</w:t>
            </w:r>
          </w:p>
        </w:tc>
        <w:tc>
          <w:tcPr>
            <w:tcW w:type="dxa" w:w="3515"/>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Visualization library distributed under Apache License 2.0.</w:t>
            </w:r>
          </w:p>
        </w:tc>
      </w:tr>
      <w:tr>
        <w:trPr>
          <w:cantSplit/>
        </w:trPr>
        <w:tc>
          <w:tcPr>
            <w:tcW w:type="dxa" w:w="2324"/>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TypeScript</w:t>
            </w:r>
          </w:p>
        </w:tc>
        <w:tc>
          <w:tcPr>
            <w:tcW w:type="dxa" w:w="3515"/>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https://github.com/microsoft/TypeScript</w:t>
            </w:r>
          </w:p>
        </w:tc>
        <w:tc>
          <w:tcPr>
            <w:tcW w:type="dxa" w:w="3515"/>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TypeScript project is distributed under Apache-2.0.</w:t>
            </w:r>
          </w:p>
        </w:tc>
      </w:tr>
      <w:tr>
        <w:trPr>
          <w:cantSplit/>
        </w:trPr>
        <w:tc>
          <w:tcPr>
            <w:tcW w:type="dxa" w:w="2324"/>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Tailwind CSS</w:t>
            </w:r>
          </w:p>
        </w:tc>
        <w:tc>
          <w:tcPr>
            <w:tcW w:type="dxa" w:w="3515"/>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https://github.com/tailwindlabs/tailwindcss</w:t>
            </w:r>
          </w:p>
        </w:tc>
        <w:tc>
          <w:tcPr>
            <w:tcW w:type="dxa" w:w="3515"/>
            <w:shd w:fill="FFFFFF"/>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Tailwind CSS project is distributed under MIT.</w:t>
            </w:r>
          </w:p>
        </w:tc>
      </w:tr>
      <w:tr>
        <w:trPr>
          <w:cantSplit/>
        </w:trPr>
        <w:tc>
          <w:tcPr>
            <w:tcW w:type="dxa" w:w="2324"/>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Zustand</w:t>
            </w:r>
          </w:p>
        </w:tc>
        <w:tc>
          <w:tcPr>
            <w:tcW w:type="dxa" w:w="3515"/>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https://github.com/pmndrs/zustand</w:t>
            </w:r>
          </w:p>
        </w:tc>
        <w:tc>
          <w:tcPr>
            <w:tcW w:type="dxa" w:w="3515"/>
            <w:shd w:fill="FAF8F7"/>
            <w:tcMar>
              <w:top w:w="85" w:type="dxa"/>
              <w:start w:w="100" w:type="dxa"/>
              <w:bottom w:w="85" w:type="dxa"/>
              <w:end w:w="100" w:type="dxa"/>
            </w:tcMar>
            <w:vAlign w:val="top"/>
          </w:tcPr>
          <w:p>
            <w:pPr>
              <w:spacing w:before="0" w:after="0" w:line="252" w:lineRule="auto"/>
            </w:pPr>
            <w:r>
              <w:rPr>
                <w:rFonts w:ascii="Inter" w:hAnsi="Inter" w:eastAsia="Inter"/>
                <w:b w:val="0"/>
                <w:color w:val="20242A"/>
                <w:sz w:val="15"/>
              </w:rPr>
              <w:t>Zustand project is distributed under MIT.</w:t>
            </w:r>
          </w:p>
        </w:tc>
      </w:tr>
    </w:tbl>
    <w:p>
      <w:pPr>
        <w:spacing w:after="0"/>
      </w:pPr>
    </w:p>
    <w:p>
      <w:pPr>
        <w:pStyle w:val="Heading2"/>
        <w:keepNext/>
        <w:spacing w:before="140" w:after="60" w:line="269" w:lineRule="auto"/>
      </w:pPr>
      <w:r>
        <w:rPr>
          <w:rFonts w:ascii="Inter Display" w:hAnsi="Inter Display" w:eastAsia="Inter Display"/>
          <w:b/>
          <w:color w:val="7B0F22"/>
          <w:sz w:val="23"/>
        </w:rPr>
        <w:t>Release-license checklist</w:t>
      </w:r>
    </w:p>
    <w:p>
      <w:pPr>
        <w:pStyle w:val="ListBullet"/>
        <w:spacing w:before="0" w:after="48" w:line="259" w:lineRule="auto"/>
      </w:pPr>
      <w:r>
        <w:rPr>
          <w:rFonts w:ascii="Inter" w:hAnsi="Inter" w:eastAsia="Inter"/>
          <w:color w:val="20242A"/>
          <w:sz w:val="18"/>
        </w:rPr>
        <w:t>Generate a complete direct/transitive dependency inventory from the final lockfile.</w:t>
      </w:r>
    </w:p>
    <w:p>
      <w:pPr>
        <w:pStyle w:val="ListBullet"/>
        <w:spacing w:before="0" w:after="48" w:line="259" w:lineRule="auto"/>
      </w:pPr>
      <w:r>
        <w:rPr>
          <w:rFonts w:ascii="Inter" w:hAnsi="Inter" w:eastAsia="Inter"/>
          <w:color w:val="20242A"/>
          <w:sz w:val="18"/>
        </w:rPr>
        <w:t>Preserve required copyright/license notices in the distributed product or third-party notices bundle.</w:t>
      </w:r>
    </w:p>
    <w:p>
      <w:pPr>
        <w:pStyle w:val="ListBullet"/>
        <w:spacing w:before="0" w:after="48" w:line="259" w:lineRule="auto"/>
      </w:pPr>
      <w:r>
        <w:rPr>
          <w:rFonts w:ascii="Inter" w:hAnsi="Inter" w:eastAsia="Inter"/>
          <w:color w:val="20242A"/>
          <w:sz w:val="18"/>
        </w:rPr>
        <w:t>Verify the bpmn.io watermark remains visible and unmodified anywhere bpmn-js renders diagrams.</w:t>
      </w:r>
    </w:p>
    <w:p>
      <w:pPr>
        <w:pStyle w:val="ListBullet"/>
        <w:spacing w:before="0" w:after="48" w:line="259" w:lineRule="auto"/>
      </w:pPr>
      <w:r>
        <w:rPr>
          <w:rFonts w:ascii="Inter" w:hAnsi="Inter" w:eastAsia="Inter"/>
          <w:color w:val="20242A"/>
          <w:sz w:val="18"/>
        </w:rPr>
        <w:t>Reconfirm any optional hosting or SaaS terms at the date of deployment rather than assuming a historical free tier still applies.</w:t>
      </w:r>
    </w:p>
    <w:p>
      <w:pPr>
        <w:pStyle w:val="ListBullet"/>
        <w:spacing w:before="0" w:after="48" w:line="259" w:lineRule="auto"/>
      </w:pPr>
      <w:r>
        <w:rPr>
          <w:rFonts w:ascii="Inter" w:hAnsi="Inter" w:eastAsia="Inter"/>
          <w:color w:val="20242A"/>
          <w:sz w:val="18"/>
        </w:rPr>
        <w:t>Record significant license decisions in an ADR/release checklist.</w:t>
      </w:r>
    </w:p>
    <w:p>
      <w:pPr>
        <w:spacing w:before="280" w:after="40" w:line="269" w:lineRule="auto"/>
        <w:jc w:val="center"/>
      </w:pPr>
      <w:r>
        <w:rPr>
          <w:rFonts w:ascii="Inter Display" w:hAnsi="Inter Display" w:eastAsia="Inter Display"/>
          <w:b/>
          <w:color w:val="5A0F1A"/>
          <w:sz w:val="22"/>
        </w:rPr>
        <w:t>AridentFlow by AridentRIS</w:t>
      </w:r>
    </w:p>
    <w:p>
      <w:pPr>
        <w:spacing w:before="0" w:after="0" w:line="269" w:lineRule="auto"/>
        <w:jc w:val="center"/>
      </w:pPr>
      <w:r>
        <w:rPr>
          <w:rFonts w:ascii="Inter" w:hAnsi="Inter" w:eastAsia="Inter"/>
          <w:color w:val="667085"/>
          <w:sz w:val="15"/>
        </w:rPr>
        <w:t>Project Definition Document · Version 1.0 · 14 August 2026</w:t>
      </w:r>
    </w:p>
    <w:sectPr w:rsidR="00FC693F" w:rsidRPr="0006063C" w:rsidSect="00034616">
      <w:headerReference w:type="default" r:id="rId9"/>
      <w:footerReference w:type="default" r:id="rId10"/>
      <w:pgSz w:w="11906" w:h="16838"/>
      <w:pgMar w:top="879" w:right="879" w:bottom="822" w:left="935" w:header="351" w:footer="351"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9" w:lineRule="auto"/>
      <w:jc w:val="left"/>
    </w:pPr>
    <w:r>
      <w:rPr>
        <w:rFonts w:ascii="Inter" w:hAnsi="Inter" w:eastAsia="Inter"/>
        <w:color w:val="667085"/>
        <w:sz w:val="14"/>
      </w:rPr>
      <w:t>AridentFlow · v1.0</w:t>
    </w:r>
    <w:r>
      <w:rPr>
        <w:rFonts w:ascii="Inter" w:hAnsi="Inter" w:eastAsia="Inter"/>
        <w:color w:val="667085"/>
        <w:sz w:val="14"/>
      </w:rPr>
      <w:t xml:space="preserve">                                                     </w:t>
    </w:r>
    <w:r>
      <w:rPr>
        <w:rFonts w:ascii="Inter" w:hAnsi="Inter" w:eastAsia="Inter"/>
        <w:color w:val="667085"/>
        <w:sz w:val="14"/>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69" w:lineRule="auto"/>
      <w:jc w:val="left"/>
      <w:pBdr>
        <w:bottom w:val="single" w:sz="6" w:space="4" w:color="D8D1D0"/>
      </w:pBdr>
    </w:pPr>
    <w:r>
      <w:rPr>
        <w:rFonts w:ascii="Inter" w:hAnsi="Inter" w:eastAsia="Inter"/>
        <w:b/>
        <w:color w:val="5A0F1A"/>
        <w:sz w:val="14"/>
      </w:rPr>
      <w:t xml:space="preserve">ARIDENTRIS  /  </w:t>
    </w:r>
    <w:r>
      <w:rPr>
        <w:rFonts w:ascii="Inter" w:hAnsi="Inter" w:eastAsia="Inter"/>
        <w:b/>
        <w:color w:val="B87333"/>
        <w:sz w:val="14"/>
      </w:rPr>
      <w:t>ARIDENTFLOW</w:t>
    </w:r>
    <w:r>
      <w:rPr>
        <w:rFonts w:ascii="Inter" w:hAnsi="Inter" w:eastAsia="Inter"/>
        <w:color w:val="667085"/>
        <w:sz w:val="14"/>
      </w:rPr>
      <w:t xml:space="preserve">   ·   PROJECT DEFINITION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Inter" w:hAnsi="Inter"/>
      <w:color w:val="2024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Display" w:hAnsi="Inter Display"/>
      <w:b/>
      <w:bCs/>
      <w:color w:val="5A0F1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Display" w:hAnsi="Inter Display"/>
      <w:b/>
      <w:bCs/>
      <w:color w:val="7B0F22"/>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nter" w:hAnsi="Inter"/>
      <w:b/>
      <w:bCs/>
      <w:color w:val="20242A"/>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69" w:lineRule="auto"/>
    </w:pPr>
    <w:rPr>
      <w:rFonts w:ascii="Inter" w:hAnsi="Inter"/>
      <w:color w:val="20242A"/>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w:hAnsi="Inter"/>
      <w:sz w:val="18"/>
    </w:rPr>
  </w:style>
  <w:style w:type="paragraph" w:styleId="ListBullet2">
    <w:name w:val="List Bullet 2"/>
    <w:basedOn w:val="Normal"/>
    <w:uiPriority w:val="99"/>
    <w:unhideWhenUsed/>
    <w:rsid w:val="00326F90"/>
    <w:pPr>
      <w:numPr>
        <w:numId w:val="2"/>
      </w:numPr>
      <w:contextualSpacing/>
    </w:pPr>
    <w:rPr>
      <w:rFonts w:ascii="Inter" w:hAnsi="Inter"/>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Inter" w:hAnsi="Inte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AridentFlow — Project Definition Document</dc:title>
  <dc:subject>Product definition and implementation blueprint for AridentFlow by AridentRIS</dc:subject>
  <dc:creator>AridentRIS Pvt Ltd</dc:creator>
  <cp:keywords>AridentFlow, AridentRIS, business process simulation, BPMN, product definition, software architecture</cp:keywords>
  <dc:description>Version 1.0 — 14 August 2026</dc:description>
  <cp:lastModifiedBy/>
  <cp:revision>1</cp:revision>
  <dcterms:created xsi:type="dcterms:W3CDTF">2013-12-23T23:15:00Z</dcterms:created>
  <dcterms:modified xsi:type="dcterms:W3CDTF">2013-12-23T23:15:00Z</dcterms:modified>
  <cp:category/>
</cp:coreProperties>
</file>