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 Lab Assignment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Design the solution using linear regression.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Model the output variable "concrete compressive strength" as a linear combination of 1 or 2 important features.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Y against each of the 8 features separately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Formulate the cost function.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Use Gradient Descent to optimize the cost (loss) function. 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Try with various learning rates of 0.1, 0.01, 0.001, 0.0001 and 0.00001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Visualize the weight vector space 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Plot the training curve 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Generate 2 sample test cases and predict the output for these test cases.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4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