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 Risk and Compliance Update</w:t>
      </w:r>
    </w:p>
    <w:p>
      <w:r>
        <w:t>ACL TEST TYPE: ORGANIZATION-WIDE</w:t>
      </w:r>
    </w:p>
    <w:p>
      <w:r>
        <w:t>Audience: Everyone in the organization</w:t>
      </w:r>
    </w:p>
    <w:p>
      <w:pPr>
        <w:pStyle w:val="Heading1"/>
      </w:pPr>
      <w:r>
        <w:t>Purpose</w:t>
      </w:r>
    </w:p>
    <w:p>
      <w:r>
        <w:t>This update summarizes organization-wide practices for identifying risks, maintaining internal controls, and escalating compliance concerns.</w:t>
      </w:r>
    </w:p>
    <w:p>
      <w:pPr>
        <w:pStyle w:val="Heading1"/>
      </w:pPr>
      <w:r>
        <w:t>Current Operating Practices</w:t>
      </w:r>
    </w:p>
    <w:p>
      <w:r>
        <w:t>Employees are expected to document control issues, preserve relevant evidence, follow approved policies, and escalate material concerns through the appropriate management or compliance channels.</w:t>
      </w:r>
    </w:p>
    <w:p>
      <w:pPr>
        <w:pStyle w:val="Heading1"/>
      </w:pPr>
      <w:r>
        <w:t>Test Facts</w:t>
      </w:r>
    </w:p>
    <w:p>
      <w:r>
        <w:t>The organization-wide risk update uses the marker ORG-RISK-2026-77 and applies to all departments. It is intended to be retrievable by every authenticated employee.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