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21"/>
        </w:rPr>
        <w:t>Operations Department</w:t>
      </w:r>
    </w:p>
    <w:p>
      <w:pPr>
        <w:spacing w:after="40"/>
        <w:jc w:val="center"/>
      </w:pPr>
      <w:r>
        <w:rPr>
          <w:b/>
          <w:sz w:val="36"/>
        </w:rPr>
        <w:t>Supply Chain Team - Organizational Guide</w:t>
      </w:r>
    </w:p>
    <w:p>
      <w:pPr>
        <w:spacing w:after="140"/>
        <w:jc w:val="center"/>
      </w:pPr>
      <w:r>
        <w:rPr>
          <w:b/>
          <w:sz w:val="17"/>
        </w:rPr>
        <w:t>ACCESS LEVEL: ORGANIZATIONAL - AVAILABLE TO ALL EMPLOYEES</w:t>
      </w:r>
    </w:p>
    <w:p>
      <w:pPr>
        <w:pStyle w:val="Heading1"/>
      </w:pPr>
      <w:r>
        <w:t>Purpose</w:t>
      </w:r>
    </w:p>
    <w:p>
      <w:r>
        <w:t>The Supply Chain Team supports reliable movement of materials, products, and information across the organization. This guide explains the team's responsibilities, operating priorities, and standard coordination practices.</w:t>
      </w:r>
    </w:p>
    <w:p>
      <w:pPr>
        <w:pStyle w:val="Heading1"/>
      </w:pPr>
      <w:r>
        <w:t>Team Responsibilities</w:t>
      </w:r>
    </w:p>
    <w:p>
      <w:pPr>
        <w:pStyle w:val="ListBullet"/>
      </w:pPr>
      <w:r>
        <w:t>Coordinate purchasing, inbound logistics, inventory planning, and outbound fulfillment.</w:t>
      </w:r>
    </w:p>
    <w:p>
      <w:pPr>
        <w:pStyle w:val="ListBullet"/>
      </w:pPr>
      <w:r>
        <w:t>Maintain visibility into stock levels, replenishment needs, supplier commitments, and delivery status.</w:t>
      </w:r>
    </w:p>
    <w:p>
      <w:pPr>
        <w:pStyle w:val="ListBullet"/>
      </w:pPr>
      <w:r>
        <w:t>Work with Finance, Sales, Engineering, and Operations stakeholders to align supply with business demand.</w:t>
      </w:r>
    </w:p>
    <w:p>
      <w:pPr>
        <w:pStyle w:val="ListBullet"/>
      </w:pPr>
      <w:r>
        <w:t>Track supply-chain risks and escalate material service or availability issues through the appropriate operating channel.</w:t>
      </w:r>
    </w:p>
    <w:p>
      <w:pPr>
        <w:pStyle w:val="Heading1"/>
      </w:pPr>
      <w:r>
        <w:t>Standard Operating Priorities</w:t>
      </w:r>
    </w:p>
    <w:p>
      <w:pPr>
        <w:pStyle w:val="ListBullet"/>
      </w:pPr>
      <w:r>
        <w:t>Service continuity: protect critical product and material availability.</w:t>
      </w:r>
    </w:p>
    <w:p>
      <w:pPr>
        <w:pStyle w:val="ListBullet"/>
      </w:pPr>
      <w:r>
        <w:t>Inventory health: avoid both stock-outs and unnecessary excess inventory.</w:t>
      </w:r>
    </w:p>
    <w:p>
      <w:pPr>
        <w:pStyle w:val="ListBullet"/>
      </w:pPr>
      <w:r>
        <w:t>Supplier reliability: monitor commitments, lead times, and open issues.</w:t>
      </w:r>
    </w:p>
    <w:p>
      <w:pPr>
        <w:pStyle w:val="ListBullet"/>
      </w:pPr>
      <w:r>
        <w:t>Operational visibility: keep status information current and understandable to stakeholders.</w:t>
      </w:r>
    </w:p>
    <w:p>
      <w:pPr>
        <w:pStyle w:val="ListBullet"/>
      </w:pPr>
      <w:r>
        <w:t>Cost discipline: balance service requirements with transportation, purchasing, and holding costs.</w:t>
      </w:r>
    </w:p>
    <w:p>
      <w:pPr>
        <w:pStyle w:val="Heading1"/>
      </w:pPr>
      <w:r>
        <w:t>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Metric</w:t>
            </w:r>
          </w:p>
        </w:tc>
        <w:tc>
          <w:tcPr>
            <w:tcW w:type="dxa" w:w="7056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  <w:t>On-time delivery</w:t>
            </w:r>
          </w:p>
        </w:tc>
        <w:tc>
          <w:tcPr>
            <w:tcW w:type="dxa" w:w="7056"/>
          </w:tcPr>
          <w:p>
            <w:pPr>
              <w:spacing w:after="0" w:line="240" w:lineRule="auto"/>
            </w:pPr>
            <w:r>
              <w:rPr>
                <w:sz w:val="17"/>
              </w:rPr>
              <w:t>Measures fulfillment reliability.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  <w:t>Inventory accuracy</w:t>
            </w:r>
          </w:p>
        </w:tc>
        <w:tc>
          <w:tcPr>
            <w:tcW w:type="dxa" w:w="7056"/>
          </w:tcPr>
          <w:p>
            <w:pPr>
              <w:spacing w:after="0" w:line="240" w:lineRule="auto"/>
            </w:pPr>
            <w:r>
              <w:rPr>
                <w:sz w:val="17"/>
              </w:rPr>
              <w:t>Measures agreement between system and physical stock.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  <w:t>Stock-out rate</w:t>
            </w:r>
          </w:p>
        </w:tc>
        <w:tc>
          <w:tcPr>
            <w:tcW w:type="dxa" w:w="7056"/>
          </w:tcPr>
          <w:p>
            <w:pPr>
              <w:spacing w:after="0" w:line="240" w:lineRule="auto"/>
            </w:pPr>
            <w:r>
              <w:rPr>
                <w:sz w:val="17"/>
              </w:rPr>
              <w:t>Measures frequency of unavailable required items.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  <w:t>Supplier lead-time adherence</w:t>
            </w:r>
          </w:p>
        </w:tc>
        <w:tc>
          <w:tcPr>
            <w:tcW w:type="dxa" w:w="7056"/>
          </w:tcPr>
          <w:p>
            <w:pPr>
              <w:spacing w:after="0" w:line="240" w:lineRule="auto"/>
            </w:pPr>
            <w:r>
              <w:rPr>
                <w:sz w:val="17"/>
              </w:rPr>
              <w:t>Measures supplier performance against committed timing.</w:t>
            </w:r>
          </w:p>
        </w:tc>
      </w:tr>
    </w:tbl>
    <w:p>
      <w:pPr>
        <w:pStyle w:val="Heading1"/>
      </w:pPr>
      <w:r>
        <w:t>Access Note</w:t>
      </w:r>
    </w:p>
    <w:p>
      <w:pPr>
        <w:spacing w:after="0"/>
      </w:pPr>
      <w:r>
        <w:t>This document contains general organizational information only. It is intended to be visible to all employees and does not contain user-specific instructions, private performance information, or restricted supplier details.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