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ACTIVITY FROM UNIT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20" w:before="0" w:line="288" w:lineRule="auto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mpl2dqa8104d" w:id="0"/>
      <w:bookmarkEnd w:id="0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The idea behind our technique is simple. You basically give your victim a link: they can open it with their mobile, PC, or any sort of device. On that link, they will see an image of your choice (we recommend using a fun one). However, your system will also track automatically their IP address and more information, like the browser they are using and their operating system.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20" w:before="0" w:line="288" w:lineRule="auto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mpl2dqa8104d" w:id="0"/>
      <w:bookmarkEnd w:id="0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While this happens, they will see the fun image and have a laugh about it. They have no way of knowing that you are tracking their IP address.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qj6vmxb517n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mjr90gxgyaa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gz0srbwtsz1x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Step #1 – Register a website (for free!)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t0mqf2ar95jr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Step #2 – Creating the website itself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42kfn6qi1qq3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Step #3 – Download the IPFinder script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5bvw6yzblitn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Step #4 – Upload the IPFinder Script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rxmdv46avuzi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Step #5 – Extract the IPFinder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8qmra6fm5rvb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Step #6 – Adding images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520" w:line="288" w:lineRule="auto"/>
        <w:rPr>
          <w:color w:val="000000"/>
          <w:sz w:val="24"/>
          <w:szCs w:val="24"/>
        </w:rPr>
      </w:pPr>
      <w:bookmarkStart w:colFirst="0" w:colLast="0" w:name="_y2c3fpu80j6k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Step 7# – Using IPFinder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5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Man-in-the-middle attacks (MITM) are a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common type of cybersecurity attack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that allows attackers to eavesdrop on the communication between two targets. The attack takes place in between two legitimately communicating hosts, allowing the attacker to “listen” to a conversation they should normally not be able to listen to, hence the name “man-in-the-middle.”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efefe" w:val="clear"/>
        <w:spacing w:after="5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Types of man-in-the-middle attacks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Rogue Access Point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ARP Spoofing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DNS Spoofing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mDNS Spoofing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Man-in-the-middle attack techniques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Sniffing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Packet Injection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Session Hijacking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SSL Stripping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Abhishek Srivastava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19bce10071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pid7.com/fundamentals/types-of-attacks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