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Perceptual Hashing (pHash)</w:t>
      </w:r>
    </w:p>
    <w:p>
      <w:pPr>
        <w:spacing w:after="200"/>
      </w:pPr>
      <w:r>
        <w:rPr>
          <w:i/>
          <w:iCs/>
          <w:color w:val="666666"/>
        </w:rPr>
        <w:t xml:space="preserve">A technical reference for media fingerprinting and forensic similarity analysis</w:t>
      </w:r>
    </w:p>
    <w:p>
      <w:pPr>
        <w:spacing w:after="120"/>
      </w:pPr>
      <w:r>
        <w:t xml:space="preserve">Standard cryptographic hashing algorithms (MD5, SHA-1, SHA-256) are unsuitable for identifying content similarity due to the </w:t>
      </w:r>
      <w:r>
        <w:rPr>
          <w:b/>
          <w:bCs/>
        </w:rPr>
        <w:t xml:space="preserve">avalanche effect</w:t>
      </w:r>
      <w:r>
        <w:t xml:space="preserve"> — changing even a single pixel completely changes the hash. Perceptual hashing instead generates a fingerprint based on the visual and structural composition of the media, remaining robust under typical modifications: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Modification 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Re-encoding and compression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Converting a raw file to a compressed MP4 or JPEG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Resolution and aspect ratio scaling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Resizing 1080p video to 360p or slight cropping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Watermark overlays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Adding TikTok, CNN, or Telegram logos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Minor color adjustments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Contrast or brightness variations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Part 1 — Mathematical Foundations</w:t>
      </w:r>
    </w:p>
    <w:p>
      <w:pPr>
        <w:spacing w:after="120"/>
      </w:pPr>
      <w:r>
        <w:rPr>
          <w:i w:val="false"/>
          <w:iCs w:val="false"/>
        </w:rPr>
        <w:t xml:space="preserve">The core mathematical engine of pHash is the </w:t>
      </w:r>
      <w:r>
        <w:rPr>
          <w:b/>
          <w:bCs/>
        </w:rPr>
        <w:t xml:space="preserve">Discrete Cosine Transform (DCT)</w:t>
      </w:r>
      <w:r>
        <w:t xml:space="preserve">, specifically the 2D DCT-II.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Grayscale Conversion and Downsampling</w:t>
      </w:r>
    </w:p>
    <w:p>
      <w:pPr>
        <w:spacing w:after="120"/>
      </w:pPr>
      <w:r>
        <w:t xml:space="preserve">The first step downsamples the image to 32×32 pixels and projects RGB color channels onto a single luminance channel, discarding chromatic details that are easily manipulated:</w:t>
      </w:r>
    </w:p>
    <w:p>
      <w:pPr>
        <w:shd w:fill="F5F5F5" w:val="clear"/>
        <w:spacing w:after="16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Y = 0.299R + 0.587G + 0.114B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The 2D Discrete Cosine Transform</w:t>
      </w:r>
    </w:p>
    <w:p>
      <w:pPr>
        <w:spacing w:after="120"/>
      </w:pPr>
      <w:r>
        <w:t xml:space="preserve">The 2D DCT transforms the grayscale spatial representation f(x, y) into a frequency domain representation F(u, v):</w:t>
      </w:r>
    </w:p>
    <w:p>
      <w:pPr>
        <w:shd w:fill="F5F5F5" w:val="clear"/>
        <w:spacing w:after="16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F(u, v) = α(u) α(v) · Σ Σ f(x,y) · cos(π(2x+1)u / 2M) · cos(π(2y+1)v / 2N)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Where M, N are the block dimensions (32×32), f(x,y) is the intensity at spatial coordinate (x,y), F(u,v) is the DCT coefficient at frequency index (u,v), and α(u), α(v) are normalization factors.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Energy Compaction</w:t>
      </w:r>
    </w:p>
    <w:p>
      <w:pPr>
        <w:spacing w:after="120"/>
      </w:pPr>
      <w:r>
        <w:t xml:space="preserve">For typical photographic images, signal energy concentrates in the low-frequency components of the DCT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Region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Location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Represents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DC coefficient — F(0,0)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Top-left corner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Average intensity of the entire block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Low frequencies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Adjacent top-left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Broad structural forms, outlines, gradients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 frequencies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Bottom-right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Edges, textures, noise, fine details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Part 2 — Image pHash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Downsample to 32×32 pixels: </w:t>
      </w:r>
      <w:r>
        <w:t xml:space="preserve">Reduces spatial complexity, smoothing out high-frequency noise.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Convert to grayscale: </w:t>
      </w:r>
      <w:r>
        <w:t xml:space="preserve">Discards hue and saturation, isolating luminance structures.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Perform 2D DCT: </w:t>
      </w:r>
      <w:r>
        <w:t xml:space="preserve">Transforms the 32×32 pixel block into a frequency matrix.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Extract the 8×8 low-frequency kernel: </w:t>
      </w:r>
      <w:r>
        <w:t xml:space="preserve">Keeps only the top-left 8×8 block (64 coefficients), discarding higher-frequency rows and columns.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Exclude the DC coefficient F(0,0): </w:t>
      </w:r>
      <w:r>
        <w:t xml:space="preserve">Prevents ambient lighting or brightness changes from altering the hash.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Calculate the mean: </w:t>
      </w:r>
      <w:r>
        <w:t xml:space="preserve">Computes the average value of the remaining 63 low-frequency coefficients.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Binarize the coefficients: </w:t>
      </w:r>
      <w:r>
        <w:t xml:space="preserve">A 64-bit boolean array is generated: Bit(u,v) = 1 if F(u,v) ≥ Mean, else 0.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Serialize to hexadecimal: </w:t>
      </w:r>
      <w:r>
        <w:t xml:space="preserve">The 64 bits are grouped into 16 nibbles and converted into a 16-character hex string, e.g. </w:t>
      </w:r>
      <w:r>
        <w:rPr>
          <w:rFonts w:ascii="Courier New" w:cs="Courier New" w:eastAsia="Courier New" w:hAnsi="Courier New"/>
          <w:sz w:val="20"/>
          <w:szCs w:val="20"/>
        </w:rPr>
        <w:t xml:space="preserve">cfb0266e5a93b022</w:t>
      </w:r>
      <w:r>
        <w:t xml:space="preserve">.</w:t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Part 3 — Aggregate Video pHash Pipeline</w:t>
      </w:r>
    </w:p>
    <w:p>
      <w:pPr>
        <w:spacing w:after="120"/>
      </w:pPr>
      <w:r>
        <w:t xml:space="preserve">A video consists of a sequence of frames. A single fingerprint is produced via a Majority Voting Consensus Algorithm.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 Adaptive Temporal Sampling</w:t>
      </w:r>
    </w:p>
    <w:p>
      <w:pPr>
        <w:spacing w:after="120"/>
      </w:pPr>
      <w:r>
        <w:t xml:space="preserve">Helix dynamically determines the number of frames to sample (N) based on video duration (D):</w:t>
      </w:r>
    </w:p>
    <w:p>
      <w:pPr>
        <w:shd w:fill="F5F5F5" w:val="clear"/>
        <w:spacing w:after="16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 = min(10, total_frames)   if D &lt; 10s
N = min(20, total_frames)   if 10s ≤ D &lt; 60s
N = min(30, total_frames)   if D ≥ 60s</w:t>
      </w:r>
    </w:p>
    <w:p>Keyframe indices are selected at linear intervals using  for uniform coverage:</w:p>
    <w:p>
      <w:pPr>
        <w:shd w:fill="F5F5F5" w:val="clear"/>
        <w:spacing w:after="16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Indices = round(linspace(0, total_frames − 1, N))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 Frame-by-Frame Hashing</w:t>
      </w:r>
    </w:p>
    <w:p>
      <w:pPr>
        <w:spacing w:after="120"/>
      </w:pPr>
      <w:r>
        <w:t xml:space="preserve">Each sampled frame is read via OpenCV, converted to RGB, wrapped in a PIL Image object, and hashed using the standard image pHash pipeline. This produces N independent 16-character hex hashes.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 Consensus Majority Voting</w:t>
      </w:r>
    </w:p>
    <w:p>
      <w:pPr>
        <w:spacing w:after="120"/>
      </w:pPr>
      <w:r>
        <w:t xml:space="preserve">To merge the N frame hashes into a single representative signature: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Boolean reconstruction: </w:t>
      </w:r>
      <w:r>
        <w:t xml:space="preserve">Each hex hash is decoded back into an 8×8 boolean matrix representing its 64-bit pattern.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3D tensor construction: </w:t>
      </w:r>
      <w:r>
        <w:t xml:space="preserve">The N boolean matrices are stacked along a new axis to form a 3D array of shape (N, 8, 8).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hash_arrays = [np.array(imagehash.hex_to_hash(h).hash, dtype=np.uint8) for h in frame_hashes]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stacked = np.stack(hash_arrays, axis=0)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Summation: </w:t>
      </w:r>
      <w:r>
        <w:t xml:space="preserve">Sums along the temporal axis, yielding a single 8×8 matrix where each cell ranges from 0 to N.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summed = np.sum(stacked, axis=0)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Consensus masking: </w:t>
      </w:r>
      <w:r>
        <w:t xml:space="preserve">A majority voting threshold is applied: if more than 50% of sampled frames have a 1 at a bit position, the consensus bit is set to 1.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majority_mask = summed &gt; (len(frame_hashes) / 2)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video_phash_obj = imagehash.ImageHash(majority_mask)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Consensus serialization: </w:t>
      </w:r>
      <w:r>
        <w:t xml:space="preserve">The final consensus mask is converted into a 16-character hex string — the Aggregate Video pHash.</w:t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Part 4 — Forensic Comparison via Hamming Distance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Hamming Distance Calculation</w:t>
      </w:r>
    </w:p>
    <w:p>
      <w:pPr>
        <w:spacing w:after="120"/>
      </w:pPr>
      <w:r>
        <w:t xml:space="preserve">The Hamming distance measures the number of bit positions at which two binary sequences differ — computed as the population count of their bitwise XOR:</w:t>
      </w:r>
    </w:p>
    <w:p>
      <w:pPr>
        <w:shd w:fill="F5F5F5" w:val="clear"/>
        <w:spacing w:after="16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D_H(H₁, H₂) = popcount(H₁ ⊕ H₂)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Distance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Range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Identical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bits differ — exact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≤ 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Highly similar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Minor alterations only (transcoding, scaling)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Completely opposite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bits differ — unrelated content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Similarity Score Mapping</w:t>
      </w:r>
    </w:p>
    <w:p>
      <w:pPr>
        <w:spacing w:after="120"/>
      </w:pPr>
      <w:r>
        <w:t xml:space="preserve">The raw Hamming distance is normalized to a percentage-based similarity score:</w:t>
      </w:r>
    </w:p>
    <w:p>
      <w:pPr>
        <w:shd w:fill="F5F5F5" w:val="clear"/>
        <w:spacing w:after="16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Similarity (%) = (1.0 − D_H / 64.0) × 100</w:t>
      </w:r>
    </w:p>
    <w:p>
      <w:pPr>
        <w:spacing w:after="120"/>
      </w:pPr>
      <w:r>
        <w:t xml:space="preserve">This score is weighted alongside sequence alignment and duration metrics to classify modifications: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Similarity range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Nearly identical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~98–100%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Re-encoded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~85–97%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Modified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~60–84%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Unrelated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60%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These classifications provide a structured trace chain of custody for digital forensic evidence.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2026-06-08T05:55:00.745Z</dcterms:created>
  <dcterms:modified xsi:type="dcterms:W3CDTF">2026-06-08T05:55:00.746Z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