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0F2D59"/>
          <w:spacing w:val="80"/>
          <w:sz w:val="72"/>
          <w:szCs w:val="72"/>
        </w:rPr>
        <w:t xml:space="preserve">ROBIN.AI</w:t>
      </w:r>
    </w:p>
    <w:p>
      <w:pPr>
        <w:spacing w:before="0" w:after="120"/>
        <w:jc w:val="center"/>
      </w:pPr>
      <w:r>
        <w:rPr>
          <w:rFonts w:ascii="Arial" w:cs="Arial" w:eastAsia="Arial" w:hAnsi="Arial"/>
          <w:i/>
          <w:iCs/>
          <w:color w:val="E8501A"/>
          <w:sz w:val="30"/>
          <w:szCs w:val="30"/>
        </w:rPr>
        <w:t xml:space="preserve">The Cognitive Firewall for High-Bandwidth Leaders</w:t>
      </w:r>
    </w:p>
    <w:p>
      <w:pPr>
        <w:spacing w:before="0" w:after="60"/>
        <w:jc w:val="center"/>
      </w:pPr>
      <w:r>
        <w:rPr>
          <w:rFonts w:ascii="Arial" w:cs="Arial" w:eastAsia="Arial" w:hAnsi="Arial"/>
          <w:color w:val="8A99AA"/>
          <w:sz w:val="22"/>
          <w:szCs w:val="22"/>
        </w:rPr>
        <w:t xml:space="preserve">Comprehensive Product Strategy &amp; Market Intelligence Document</w:t>
      </w:r>
    </w:p>
    <w:p>
      <w:pPr>
        <w:spacing w:before="0" w:after="600"/>
        <w:jc w:val="center"/>
      </w:pPr>
      <w:r>
        <w:rPr>
          <w:rFonts w:ascii="Arial" w:cs="Arial" w:eastAsia="Arial" w:hAnsi="Arial"/>
          <w:color w:val="8A99AA"/>
          <w:sz w:val="20"/>
          <w:szCs w:val="20"/>
        </w:rPr>
        <w:t xml:space="preserve">Version 1.0  ·  Confidential  ·  2025</w:t>
      </w:r>
    </w:p>
    <w:p>
      <w:pPr>
        <w:pBdr>
          <w:bottom w:val="single" w:color="DEE4ED" w:sz="2" w:space="1"/>
        </w:pBdr>
        <w:spacing w:before="160" w:after="160"/>
      </w:pPr>
      <w:r>
        <w:t xml:space="preserve"/>
      </w:r>
    </w:p>
    <w:p>
      <w:pPr>
        <w:spacing w:before="200" w:after="200"/>
        <w:jc w:val="center"/>
      </w:pPr>
      <w:r>
        <w:rPr>
          <w:rFonts w:ascii="Arial" w:cs="Arial" w:eastAsia="Arial" w:hAnsi="Arial"/>
          <w:i/>
          <w:iCs/>
          <w:color w:val="1A4A8A"/>
          <w:sz w:val="24"/>
          <w:szCs w:val="24"/>
        </w:rPr>
        <w:t xml:space="preserve">"Don't believe everything you hear. Believe the evidence."</w:t>
      </w:r>
    </w:p>
    <w:p>
      <w:pPr>
        <w:pBdr>
          <w:bottom w:val="single" w:color="DEE4ED" w:sz="2" w:space="1"/>
        </w:pBdr>
        <w:spacing w:before="160" w:after="160"/>
      </w:pPr>
      <w:r>
        <w:t xml:space="preserve"/>
      </w:r>
    </w:p>
    <w:p>
      <w:r>
        <w:br w:type="page"/>
      </w:r>
    </w:p>
    <w:p>
      <w:pPr>
        <w:spacing w:before="200" w:after="80"/>
      </w:pPr>
      <w:r>
        <w:rPr>
          <w:rFonts w:ascii="Arial" w:cs="Arial" w:eastAsia="Arial" w:hAnsi="Arial"/>
          <w:b/>
          <w:bCs/>
          <w:color w:val="E8501A"/>
          <w:spacing w:val="60"/>
          <w:sz w:val="18"/>
          <w:szCs w:val="18"/>
        </w:rPr>
        <w:t xml:space="preserve">PART I</w:t>
      </w:r>
    </w:p>
    <w:p>
      <w:pPr>
        <w:pStyle w:val="Heading1"/>
        <w:pBdr>
          <w:bottom w:val="single" w:color="E8501A" w:sz="4" w:space="4"/>
        </w:pBdr>
        <w:spacing w:before="400" w:after="160"/>
      </w:pPr>
      <w:r>
        <w:rPr>
          <w:rFonts w:ascii="Arial" w:cs="Arial" w:eastAsia="Arial" w:hAnsi="Arial"/>
          <w:b/>
          <w:bCs/>
          <w:color w:val="0F2D59"/>
          <w:sz w:val="36"/>
          <w:szCs w:val="36"/>
        </w:rPr>
        <w:t xml:space="preserve">The Thesis: From Secretaries to Skeptics</w:t>
      </w:r>
    </w:p>
    <w:p>
      <w:pPr>
        <w:spacing w:before="120" w:after="160"/>
        <w:jc w:val="both"/>
      </w:pPr>
      <w:r>
        <w:rPr>
          <w:rFonts w:ascii="Arial" w:cs="Arial" w:eastAsia="Arial" w:hAnsi="Arial"/>
          <w:i/>
          <w:iCs/>
          <w:color w:val="1E1E2E"/>
          <w:sz w:val="24"/>
          <w:szCs w:val="24"/>
        </w:rPr>
        <w:t xml:space="preserve">Every era of enterprise software has created a new category of cognitive labor. We are building the category that eliminates the most expensive form of cognitive waste in business: the false conviction created by passive information processing.</w:t>
      </w:r>
    </w:p>
    <w:p>
      <w:pPr>
        <w:pStyle w:val="Heading2"/>
        <w:spacing w:before="320" w:after="120"/>
      </w:pPr>
      <w:r>
        <w:rPr>
          <w:rFonts w:ascii="Arial" w:cs="Arial" w:eastAsia="Arial" w:hAnsi="Arial"/>
          <w:b/>
          <w:bCs/>
          <w:color w:val="1E1E2E"/>
          <w:sz w:val="28"/>
          <w:szCs w:val="28"/>
        </w:rPr>
        <w:t xml:space="preserve">1.1  The High-Fidelity Noise Trap</w:t>
      </w:r>
    </w:p>
    <w:p>
      <w:pPr>
        <w:spacing w:before="80" w:after="120"/>
        <w:jc w:val="both"/>
      </w:pPr>
      <w:r>
        <w:rPr>
          <w:rFonts w:ascii="Arial" w:cs="Arial" w:eastAsia="Arial" w:hAnsi="Arial"/>
          <w:color w:val="1E1E2E"/>
          <w:sz w:val="22"/>
          <w:szCs w:val="22"/>
        </w:rPr>
        <w:t xml:space="preserve">The last decade of productivity tooling was obsessed with capture. The hypothesis was simple: if you could record everything, you would miss nothing. Tools like Granola transformed meeting notes from a chore into an automatic artifact. Wispr Flow let executives dictate thoughts at the speed of speech. Otter, Fireflies, and a dozen other tools promised total recall.</w:t>
      </w:r>
    </w:p>
    <w:p>
      <w:pPr>
        <w:spacing w:before="80" w:after="120"/>
        <w:jc w:val="both"/>
      </w:pPr>
      <w:r>
        <w:rPr>
          <w:rFonts w:ascii="Arial" w:cs="Arial" w:eastAsia="Arial" w:hAnsi="Arial"/>
          <w:color w:val="1E1E2E"/>
          <w:sz w:val="22"/>
          <w:szCs w:val="22"/>
        </w:rPr>
        <w:t xml:space="preserve">The hypothesis was correct. And it created a new, far more dangerous problem.</w:t>
      </w:r>
    </w:p>
    <w:p>
      <w:pPr>
        <w:spacing w:before="80" w:after="120"/>
        <w:jc w:val="both"/>
      </w:pPr>
      <w:r>
        <w:rPr>
          <w:rFonts w:ascii="Arial" w:cs="Arial" w:eastAsia="Arial" w:hAnsi="Arial"/>
          <w:color w:val="1E1E2E"/>
          <w:sz w:val="22"/>
          <w:szCs w:val="22"/>
        </w:rPr>
        <w:t xml:space="preserve">When the volume of perfectly-captured information exceeds a human's ability to critically evaluate it, the signal-to-noise ratio collapses. The modern executive does not suffer from a lack of information. They suffer from an abundance of information presented with equal weight, equal confidence, and equal formatting — regardless of whether it is true.</w:t>
      </w:r>
    </w:p>
    <w:p>
      <w:pPr>
        <w:spacing w:before="80" w:after="120"/>
        <w:jc w:val="both"/>
      </w:pPr>
      <w:r>
        <w:rPr>
          <w:rFonts w:ascii="Arial" w:cs="Arial" w:eastAsia="Arial" w:hAnsi="Arial"/>
          <w:color w:val="1E1E2E"/>
          <w:sz w:val="22"/>
          <w:szCs w:val="22"/>
        </w:rPr>
        <w:t xml:space="preserve">A transcript of a founder claiming '$2M ARR' looks identical to a transcript of a founder who actually has $2M ARR. A polished summary of a mediocre pitch reads like a polished summary of a breakthrough company. The tools that were supposed to save cognitive bandwidth have, paradoxically, begun to consume it.</w:t>
      </w:r>
    </w:p>
    <w:p>
      <w:pPr>
        <w:spacing w:before="80" w:after="120"/>
        <w:jc w:val="both"/>
      </w:pPr>
      <w:r>
        <w:rPr>
          <w:rFonts w:ascii="Arial" w:cs="Arial" w:eastAsia="Arial" w:hAnsi="Arial"/>
          <w:color w:val="1E1E2E"/>
          <w:sz w:val="22"/>
          <w:szCs w:val="22"/>
        </w:rPr>
        <w:t xml:space="preserve">We call this the High-Fidelity Noise Trap: the state in which you have perfect records of everything said but no validated understanding of what is actually true.</w:t>
      </w:r>
    </w:p>
    <w:p>
      <w:pPr>
        <w:pStyle w:val="Heading2"/>
        <w:spacing w:before="320" w:after="120"/>
      </w:pPr>
      <w:r>
        <w:rPr>
          <w:rFonts w:ascii="Arial" w:cs="Arial" w:eastAsia="Arial" w:hAnsi="Arial"/>
          <w:b/>
          <w:bCs/>
          <w:color w:val="1E1E2E"/>
          <w:sz w:val="28"/>
          <w:szCs w:val="28"/>
        </w:rPr>
        <w:t xml:space="preserve">1.2  The Secretary vs. The Skeptic</w:t>
      </w:r>
    </w:p>
    <w:p>
      <w:pPr>
        <w:spacing w:before="80" w:after="120"/>
        <w:jc w:val="both"/>
      </w:pPr>
      <w:r>
        <w:rPr>
          <w:rFonts w:ascii="Arial" w:cs="Arial" w:eastAsia="Arial" w:hAnsi="Arial"/>
          <w:color w:val="1E1E2E"/>
          <w:sz w:val="22"/>
          <w:szCs w:val="22"/>
        </w:rPr>
        <w:t xml:space="preserve">The dominant design philosophy of AI productivity tools is that of the Secretary: capture, organize, and present information as efficiently as possible. This is valuable. But a Secretary has a fatal flaw — they believe what they are told. A Secretary who transcribes a lie produces a perfectly formatted lie. A Secretary who summarizes a misleading pitch produces a beautifully structured misleading summary.</w:t>
      </w:r>
    </w:p>
    <w:p>
      <w:pPr>
        <w:spacing w:before="80" w:after="120"/>
        <w:jc w:val="both"/>
      </w:pPr>
      <w:r>
        <w:rPr>
          <w:rFonts w:ascii="Arial" w:cs="Arial" w:eastAsia="Arial" w:hAnsi="Arial"/>
          <w:color w:val="1E1E2E"/>
          <w:sz w:val="22"/>
          <w:szCs w:val="22"/>
        </w:rPr>
        <w:t xml:space="preserve">Robin.ai is built on a different philosophy: the Skeptical Analyst. Where a Secretary asks 'What was said?', a Skeptical Analyst asks three harder questions:</w:t>
      </w:r>
    </w:p>
    <w:p>
      <w:pPr>
        <w:pStyle w:val="ListParagraph"/>
        <w:numPr>
          <w:ilvl w:val="0"/>
          <w:numId w:val="2"/>
        </w:numPr>
        <w:spacing w:before="60" w:after="60"/>
      </w:pPr>
      <w:r>
        <w:rPr>
          <w:rFonts w:ascii="Arial" w:cs="Arial" w:eastAsia="Arial" w:hAnsi="Arial"/>
          <w:color w:val="1E1E2E"/>
          <w:sz w:val="22"/>
          <w:szCs w:val="22"/>
        </w:rPr>
        <w:t xml:space="preserve">What was claimed, and what evidence supports the claim?</w:t>
      </w:r>
    </w:p>
    <w:p>
      <w:pPr>
        <w:pStyle w:val="ListParagraph"/>
        <w:numPr>
          <w:ilvl w:val="0"/>
          <w:numId w:val="2"/>
        </w:numPr>
        <w:spacing w:before="60" w:after="60"/>
      </w:pPr>
      <w:r>
        <w:rPr>
          <w:rFonts w:ascii="Arial" w:cs="Arial" w:eastAsia="Arial" w:hAnsi="Arial"/>
          <w:color w:val="1E1E2E"/>
          <w:sz w:val="22"/>
          <w:szCs w:val="22"/>
        </w:rPr>
        <w:t xml:space="preserve">What was NOT said that should have been said?</w:t>
      </w:r>
    </w:p>
    <w:p>
      <w:pPr>
        <w:pStyle w:val="ListParagraph"/>
        <w:numPr>
          <w:ilvl w:val="0"/>
          <w:numId w:val="2"/>
        </w:numPr>
        <w:spacing w:before="60" w:after="60"/>
      </w:pPr>
      <w:r>
        <w:rPr>
          <w:rFonts w:ascii="Arial" w:cs="Arial" w:eastAsia="Arial" w:hAnsi="Arial"/>
          <w:color w:val="1E1E2E"/>
          <w:sz w:val="22"/>
          <w:szCs w:val="22"/>
        </w:rPr>
        <w:t xml:space="preserve">Where does what was said contradict what was said before, or what you privately noted after?</w:t>
      </w:r>
    </w:p>
    <w:p>
      <w:pPr>
        <w:spacing w:before="80" w:after="120"/>
        <w:jc w:val="both"/>
      </w:pPr>
      <w:r>
        <w:rPr>
          <w:rFonts w:ascii="Arial" w:cs="Arial" w:eastAsia="Arial" w:hAnsi="Arial"/>
          <w:color w:val="1E1E2E"/>
          <w:sz w:val="22"/>
          <w:szCs w:val="22"/>
        </w:rPr>
        <w:t xml:space="preserve">This is not a marginal improvement on existing tools. It is a categorical shift in the role of AI in the decision-making process. Robin.ai is not a better note-taker. It is the world's first AI-powered diligence partner.</w:t>
      </w:r>
    </w:p>
    <w:p>
      <w:pPr>
        <w:pStyle w:val="Heading2"/>
        <w:spacing w:before="320" w:after="120"/>
      </w:pPr>
      <w:r>
        <w:rPr>
          <w:rFonts w:ascii="Arial" w:cs="Arial" w:eastAsia="Arial" w:hAnsi="Arial"/>
          <w:b/>
          <w:bCs/>
          <w:color w:val="1E1E2E"/>
          <w:sz w:val="28"/>
          <w:szCs w:val="28"/>
        </w:rPr>
        <w:t xml:space="preserve">1.3  The Non-Renewable Resource</w:t>
      </w:r>
    </w:p>
    <w:p>
      <w:pPr>
        <w:spacing w:before="80" w:after="120"/>
        <w:jc w:val="both"/>
      </w:pPr>
      <w:r>
        <w:rPr>
          <w:rFonts w:ascii="Arial" w:cs="Arial" w:eastAsia="Arial" w:hAnsi="Arial"/>
          <w:color w:val="1E1E2E"/>
          <w:sz w:val="22"/>
          <w:szCs w:val="22"/>
        </w:rPr>
        <w:t xml:space="preserve">Cognitive bandwidth is the only resource that cannot be delegated, purchased, or recovered once spent. Time can be reclaimed with better scheduling. Capital can be raised again. Talent can be hired. But the mental energy required to process information critically, hold multiple conflicting hypotheses simultaneously, and reach a conviction-backed decision — this is finite, non-renewable, and the single greatest bottleneck in high-performance decision-making.</w:t>
      </w:r>
    </w:p>
    <w:p>
      <w:pPr>
        <w:spacing w:before="80" w:after="120"/>
        <w:jc w:val="both"/>
      </w:pPr>
      <w:r>
        <w:rPr>
          <w:rFonts w:ascii="Arial" w:cs="Arial" w:eastAsia="Arial" w:hAnsi="Arial"/>
          <w:color w:val="1E1E2E"/>
          <w:sz w:val="22"/>
          <w:szCs w:val="22"/>
        </w:rPr>
        <w:t xml:space="preserve">Robin.ai is, at its core, a cognitive bandwidth protection system. Every feature, every algorithm, every design decision is evaluated against a single question: does this return cognitive bandwidth to the user, or does it consume it?</w:t>
      </w:r>
    </w:p>
    <w:p>
      <w:r>
        <w:br w:type="page"/>
      </w:r>
    </w:p>
    <w:p>
      <w:pPr>
        <w:spacing w:before="200" w:after="80"/>
      </w:pPr>
      <w:r>
        <w:rPr>
          <w:rFonts w:ascii="Arial" w:cs="Arial" w:eastAsia="Arial" w:hAnsi="Arial"/>
          <w:b/>
          <w:bCs/>
          <w:color w:val="E8501A"/>
          <w:spacing w:val="60"/>
          <w:sz w:val="18"/>
          <w:szCs w:val="18"/>
        </w:rPr>
        <w:t xml:space="preserve">PART II</w:t>
      </w:r>
    </w:p>
    <w:p>
      <w:pPr>
        <w:pStyle w:val="Heading1"/>
        <w:pBdr>
          <w:bottom w:val="single" w:color="E8501A" w:sz="4" w:space="4"/>
        </w:pBdr>
        <w:spacing w:before="400" w:after="160"/>
      </w:pPr>
      <w:r>
        <w:rPr>
          <w:rFonts w:ascii="Arial" w:cs="Arial" w:eastAsia="Arial" w:hAnsi="Arial"/>
          <w:b/>
          <w:bCs/>
          <w:color w:val="0F2D59"/>
          <w:sz w:val="36"/>
          <w:szCs w:val="36"/>
        </w:rPr>
        <w:t xml:space="preserve">The Core Problem: Anatomy of the Conviction Gap</w:t>
      </w:r>
    </w:p>
    <w:p>
      <w:pPr>
        <w:spacing w:before="120" w:after="160"/>
        <w:jc w:val="both"/>
      </w:pPr>
      <w:r>
        <w:rPr>
          <w:rFonts w:ascii="Arial" w:cs="Arial" w:eastAsia="Arial" w:hAnsi="Arial"/>
          <w:i/>
          <w:iCs/>
          <w:color w:val="1E1E2E"/>
          <w:sz w:val="24"/>
          <w:szCs w:val="24"/>
        </w:rPr>
        <w:t xml:space="preserve">The real crisis in high-stakes decision-making is not speed. It is the structural gap between what a leader believes they understood from an interaction and what they would believe if they had a rigorous, evidence-anchored analysis of the same interaction.</w:t>
      </w:r>
    </w:p>
    <w:p>
      <w:pPr>
        <w:pStyle w:val="Heading2"/>
        <w:spacing w:before="320" w:after="120"/>
      </w:pPr>
      <w:r>
        <w:rPr>
          <w:rFonts w:ascii="Arial" w:cs="Arial" w:eastAsia="Arial" w:hAnsi="Arial"/>
          <w:b/>
          <w:bCs/>
          <w:color w:val="1E1E2E"/>
          <w:sz w:val="28"/>
          <w:szCs w:val="28"/>
        </w:rPr>
        <w:t xml:space="preserve">2.1  Debunking the '24-Hour Problem' Myth</w:t>
      </w:r>
    </w:p>
    <w:p>
      <w:pPr>
        <w:spacing w:before="80" w:after="120"/>
        <w:jc w:val="both"/>
      </w:pPr>
      <w:r>
        <w:rPr>
          <w:rFonts w:ascii="Arial" w:cs="Arial" w:eastAsia="Arial" w:hAnsi="Arial"/>
          <w:color w:val="1E1E2E"/>
          <w:sz w:val="22"/>
          <w:szCs w:val="22"/>
        </w:rPr>
        <w:t xml:space="preserve">Conventional wisdom in the productivity space holds that the primary enemy of great decisions is time: if you could act faster on meeting insights, you would make better decisions. This has spawned a generation of 'meeting follow-up' tools, 'action item' trackers, and 'same-day summary' features.</w:t>
      </w:r>
    </w:p>
    <w:p>
      <w:pPr>
        <w:spacing w:before="80" w:after="120"/>
        <w:jc w:val="both"/>
      </w:pPr>
      <w:r>
        <w:rPr>
          <w:rFonts w:ascii="Arial" w:cs="Arial" w:eastAsia="Arial" w:hAnsi="Arial"/>
          <w:color w:val="1E1E2E"/>
          <w:sz w:val="22"/>
          <w:szCs w:val="22"/>
        </w:rPr>
        <w:t xml:space="preserve">This framing is wrong. The research consensus in behavioral decision-making (Kahneman, Tversky, Ariely) is unambiguous: the quality of a decision is not primarily a function of how quickly it follows the acquisition of information. It is a function of how rigorously the information was evaluated before the decision was made.</w:t>
      </w:r>
    </w:p>
    <w:p>
      <w:pPr>
        <w:spacing w:before="80" w:after="120"/>
        <w:jc w:val="both"/>
      </w:pPr>
      <w:r>
        <w:rPr>
          <w:rFonts w:ascii="Arial" w:cs="Arial" w:eastAsia="Arial" w:hAnsi="Arial"/>
          <w:color w:val="1E1E2E"/>
          <w:sz w:val="22"/>
          <w:szCs w:val="22"/>
        </w:rPr>
        <w:t xml:space="preserve">A CEO who receives a summary of a pitch meeting two minutes after it ends and acts on it immediately has not made a better decision than one who receives the same summary twelve hours later. Both have made decisions based on the same incomplete evaluation. Speed-to-action on unvalidated data is not a competitive advantage — it is a risk amplifier.</w:t>
      </w:r>
    </w:p>
    <w:p>
      <w:pPr>
        <w:spacing w:before="80" w:after="120"/>
        <w:jc w:val="both"/>
      </w:pPr>
      <w:r>
        <w:rPr>
          <w:rFonts w:ascii="Arial" w:cs="Arial" w:eastAsia="Arial" w:hAnsi="Arial"/>
          <w:color w:val="1E1E2E"/>
          <w:sz w:val="22"/>
          <w:szCs w:val="22"/>
        </w:rPr>
        <w:t xml:space="preserve">The real problem is the Conviction Gap: the distance between the shallow confidence created by a passive summary and the deep conviction that comes from evidence-anchored analysis.</w:t>
      </w:r>
    </w:p>
    <w:p>
      <w:pPr>
        <w:pStyle w:val="Heading2"/>
        <w:spacing w:before="320" w:after="120"/>
      </w:pPr>
      <w:r>
        <w:rPr>
          <w:rFonts w:ascii="Arial" w:cs="Arial" w:eastAsia="Arial" w:hAnsi="Arial"/>
          <w:b/>
          <w:bCs/>
          <w:color w:val="1E1E2E"/>
          <w:sz w:val="28"/>
          <w:szCs w:val="28"/>
        </w:rPr>
        <w:t xml:space="preserve">2.2  The Three Structural Failure Modes</w:t>
      </w:r>
    </w:p>
    <w:p>
      <w:pPr>
        <w:spacing w:before="80" w:after="120"/>
        <w:jc w:val="both"/>
      </w:pPr>
      <w:r>
        <w:rPr>
          <w:rFonts w:ascii="Arial" w:cs="Arial" w:eastAsia="Arial" w:hAnsi="Arial"/>
          <w:color w:val="1E1E2E"/>
          <w:sz w:val="22"/>
          <w:szCs w:val="22"/>
        </w:rPr>
        <w:t xml:space="preserve">Robin.ai has identified three structural failure modes that create the Conviction Gap in every high-stakes conversation analysis:</w:t>
      </w:r>
    </w:p>
    <w:p>
      <w:pPr>
        <w:pStyle w:val="Heading3"/>
        <w:spacing w:before="240" w:after="100"/>
      </w:pPr>
      <w:r>
        <w:rPr>
          <w:rFonts w:ascii="Arial" w:cs="Arial" w:eastAsia="Arial" w:hAnsi="Arial"/>
          <w:b/>
          <w:bCs/>
          <w:color w:val="1A4A8A"/>
          <w:sz w:val="24"/>
          <w:szCs w:val="24"/>
        </w:rPr>
        <w:t xml:space="preserve">Failure Mode 1: Blind Spots (The Absence of Evidence)</w:t>
      </w:r>
    </w:p>
    <w:p>
      <w:pPr>
        <w:spacing w:before="80" w:after="120"/>
        <w:jc w:val="both"/>
      </w:pPr>
      <w:r>
        <w:rPr>
          <w:rFonts w:ascii="Arial" w:cs="Arial" w:eastAsia="Arial" w:hAnsi="Arial"/>
          <w:color w:val="1E1E2E"/>
          <w:sz w:val="22"/>
          <w:szCs w:val="22"/>
        </w:rPr>
        <w:t xml:space="preserve">The most dangerous signals in any pitch or negotiation are the ones that are never mentioned. A founder who presents detailed MRR growth but never mentions churn has not forgotten to mention churn. In most cases, the omission is strategic. A strategic partner who presents upside scenarios but glosses over execution risk is not being careless — they are being calculated.</w:t>
      </w:r>
    </w:p>
    <w:p>
      <w:pPr>
        <w:spacing w:before="80" w:after="120"/>
        <w:jc w:val="both"/>
      </w:pPr>
      <w:r>
        <w:rPr>
          <w:rFonts w:ascii="Arial" w:cs="Arial" w:eastAsia="Arial" w:hAnsi="Arial"/>
          <w:color w:val="1E1E2E"/>
          <w:sz w:val="22"/>
          <w:szCs w:val="22"/>
        </w:rPr>
        <w:t xml:space="preserve">Passive tools cannot detect what was not said. Robin.ai's GRUE Stress-Test framework hard-codes the complete universe of metrics that a sophisticated analyst would expect to hear in any given context and automatically generates a 'what was missing' report. This transforms the absence of information from an invisible risk into a visible red flag.</w:t>
      </w:r>
    </w:p>
    <w:p>
      <w:pPr>
        <w:pStyle w:val="Heading3"/>
        <w:spacing w:before="240" w:after="100"/>
      </w:pPr>
      <w:r>
        <w:rPr>
          <w:rFonts w:ascii="Arial" w:cs="Arial" w:eastAsia="Arial" w:hAnsi="Arial"/>
          <w:b/>
          <w:bCs/>
          <w:color w:val="1A4A8A"/>
          <w:sz w:val="24"/>
          <w:szCs w:val="24"/>
        </w:rPr>
        <w:t xml:space="preserve">Failure Mode 2: Conflicts (The Incoherence Gap)</w:t>
      </w:r>
    </w:p>
    <w:p>
      <w:pPr>
        <w:spacing w:before="80" w:after="120"/>
        <w:jc w:val="both"/>
      </w:pPr>
      <w:r>
        <w:rPr>
          <w:rFonts w:ascii="Arial" w:cs="Arial" w:eastAsia="Arial" w:hAnsi="Arial"/>
          <w:color w:val="1E1E2E"/>
          <w:sz w:val="22"/>
          <w:szCs w:val="22"/>
        </w:rPr>
        <w:t xml:space="preserve">In complex, multi-stakeholder environments, the same narrative is often presented differently across different contexts. A founder may present aggressive growth metrics in a formal pitch meeting (captured in the public Granola transcript) while off-the-cuff comments in a casual follow-up (captured in the user's private Wispr dictation) reveal a more cautious, uncertain private view.</w:t>
      </w:r>
    </w:p>
    <w:p>
      <w:pPr>
        <w:spacing w:before="80" w:after="120"/>
        <w:jc w:val="both"/>
      </w:pPr>
      <w:r>
        <w:rPr>
          <w:rFonts w:ascii="Arial" w:cs="Arial" w:eastAsia="Arial" w:hAnsi="Arial"/>
          <w:color w:val="1E1E2E"/>
          <w:sz w:val="22"/>
          <w:szCs w:val="22"/>
        </w:rPr>
        <w:t xml:space="preserve">These two data streams — the curated public presentation and the unguarded private reaction — are the two most valuable inputs in any diligence process. Passive tools analyze them in isolation. Robin.ai's Conflict Reporter cross-references them in real time, flagging discrepancies with source citations.</w:t>
      </w:r>
    </w:p>
    <w:p>
      <w:pPr>
        <w:pStyle w:val="Heading3"/>
        <w:spacing w:before="240" w:after="100"/>
      </w:pPr>
      <w:r>
        <w:rPr>
          <w:rFonts w:ascii="Arial" w:cs="Arial" w:eastAsia="Arial" w:hAnsi="Arial"/>
          <w:b/>
          <w:bCs/>
          <w:color w:val="1A4A8A"/>
          <w:sz w:val="24"/>
          <w:szCs w:val="24"/>
        </w:rPr>
        <w:t xml:space="preserve">Failure Mode 3: AI Polish (The Narrative Laundering Problem)</w:t>
      </w:r>
    </w:p>
    <w:p>
      <w:pPr>
        <w:spacing w:before="80" w:after="120"/>
        <w:jc w:val="both"/>
      </w:pPr>
      <w:r>
        <w:rPr>
          <w:rFonts w:ascii="Arial" w:cs="Arial" w:eastAsia="Arial" w:hAnsi="Arial"/>
          <w:color w:val="1E1E2E"/>
          <w:sz w:val="22"/>
          <w:szCs w:val="22"/>
        </w:rPr>
        <w:t xml:space="preserve">The rise of LLM-assisted communication has created a new form of signal distortion that did not exist three years ago: AI-polished pitches. Founders with mediocre ideas now routinely use GPT-4 to generate investor-grade narratives, market size analyses, and competitive moat articulations. The output is grammatically impeccable, structurally coherent, and analytically shallow.</w:t>
      </w:r>
    </w:p>
    <w:p>
      <w:pPr>
        <w:spacing w:before="80" w:after="120"/>
        <w:jc w:val="both"/>
      </w:pPr>
      <w:r>
        <w:rPr>
          <w:rFonts w:ascii="Arial" w:cs="Arial" w:eastAsia="Arial" w:hAnsi="Arial"/>
          <w:color w:val="1E1E2E"/>
          <w:sz w:val="22"/>
          <w:szCs w:val="22"/>
        </w:rPr>
        <w:t xml:space="preserve">Passive AI tools are particularly susceptible to this failure mode because they are designed to summarize — and a well-polished AI-generated narrative summarizes beautifully. Robin.ai's architecture is specifically designed to detect and flag narrative constructs that have high rhetorical polish but low evidentiary support, a pattern we identify as 'AI-laundered conviction.'</w:t>
      </w:r>
    </w:p>
    <w:p>
      <w:pPr>
        <w:pStyle w:val="Heading2"/>
        <w:spacing w:before="320" w:after="120"/>
      </w:pPr>
      <w:r>
        <w:rPr>
          <w:rFonts w:ascii="Arial" w:cs="Arial" w:eastAsia="Arial" w:hAnsi="Arial"/>
          <w:b/>
          <w:bCs/>
          <w:color w:val="1E1E2E"/>
          <w:sz w:val="28"/>
          <w:szCs w:val="28"/>
        </w:rPr>
        <w:t xml:space="preserve">2.3  The Cost of the Conviction Gap: Quantifying the Problem</w:t>
      </w:r>
    </w:p>
    <w:p>
      <w:pPr>
        <w:spacing w:before="80" w:after="120"/>
        <w:jc w:val="both"/>
      </w:pPr>
      <w:r>
        <w:rPr>
          <w:rFonts w:ascii="Arial" w:cs="Arial" w:eastAsia="Arial" w:hAnsi="Arial"/>
          <w:color w:val="1E1E2E"/>
          <w:sz w:val="22"/>
          <w:szCs w:val="22"/>
        </w:rPr>
        <w:t xml:space="preserve">To understand the market opportunity, it is necessary to quantify what the Conviction Gap actually costs. We analyze this at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80"/>
        <w:gridCol w:w="2280"/>
      </w:tblGrid>
      <w:tr>
        <w:tc>
          <w:tcPr>
            <w:tcW w:type="dxa" w:w="22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Decision Maker</w:t>
            </w:r>
          </w:p>
        </w:tc>
        <w:tc>
          <w:tcPr>
            <w:tcW w:type="dxa" w:w="22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Frequency of Critical Decisions</w:t>
            </w:r>
          </w:p>
        </w:tc>
        <w:tc>
          <w:tcPr>
            <w:tcW w:type="dxa" w:w="268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Average Cost of a Bad Decision</w:t>
            </w:r>
          </w:p>
        </w:tc>
        <w:tc>
          <w:tcPr>
            <w:tcW w:type="dxa" w:w="228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Annual Risk Exposure</w:t>
            </w:r>
          </w:p>
        </w:tc>
      </w:tr>
      <w:tr>
        <w:tc>
          <w:tcPr>
            <w:tcW w:type="dxa" w:w="2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Early-Stage VC Partner</w:t>
            </w:r>
          </w:p>
        </w:tc>
        <w:tc>
          <w:tcPr>
            <w:tcW w:type="dxa" w:w="2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10–20 investments/year</w:t>
            </w:r>
          </w:p>
        </w:tc>
        <w:tc>
          <w:tcPr>
            <w:tcW w:type="dxa" w:w="268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$500K–$5M (lost carry on failed bets)</w:t>
            </w:r>
          </w:p>
        </w:tc>
        <w:tc>
          <w:tcPr>
            <w:tcW w:type="dxa" w:w="228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$5M–$100M</w:t>
            </w:r>
          </w:p>
        </w:tc>
      </w:tr>
      <w:tr>
        <w:tc>
          <w:tcPr>
            <w:tcW w:type="dxa" w:w="2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Growth-Stage VC Partner</w:t>
            </w:r>
          </w:p>
        </w:tc>
        <w:tc>
          <w:tcPr>
            <w:tcW w:type="dxa" w:w="2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3–8 investments/year</w:t>
            </w:r>
          </w:p>
        </w:tc>
        <w:tc>
          <w:tcPr>
            <w:tcW w:type="dxa" w:w="268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$2M–$50M</w:t>
            </w:r>
          </w:p>
        </w:tc>
        <w:tc>
          <w:tcPr>
            <w:tcW w:type="dxa" w:w="228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$15M–$400M</w:t>
            </w:r>
          </w:p>
        </w:tc>
      </w:tr>
      <w:tr>
        <w:tc>
          <w:tcPr>
            <w:tcW w:type="dxa" w:w="2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Fortune 500 CEO</w:t>
            </w:r>
          </w:p>
        </w:tc>
        <w:tc>
          <w:tcPr>
            <w:tcW w:type="dxa" w:w="2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2–5 major strategic decisions/year</w:t>
            </w:r>
          </w:p>
        </w:tc>
        <w:tc>
          <w:tcPr>
            <w:tcW w:type="dxa" w:w="268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$10M–$1B+</w:t>
            </w:r>
          </w:p>
        </w:tc>
        <w:tc>
          <w:tcPr>
            <w:tcW w:type="dxa" w:w="228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$20M–$5B+</w:t>
            </w:r>
          </w:p>
        </w:tc>
      </w:tr>
      <w:tr>
        <w:tc>
          <w:tcPr>
            <w:tcW w:type="dxa" w:w="2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M&amp;A Lawyer (Partner)</w:t>
            </w:r>
          </w:p>
        </w:tc>
        <w:tc>
          <w:tcPr>
            <w:tcW w:type="dxa" w:w="2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4–10 deals/year</w:t>
            </w:r>
          </w:p>
        </w:tc>
        <w:tc>
          <w:tcPr>
            <w:tcW w:type="dxa" w:w="268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$500K–$50M (deal value at risk)</w:t>
            </w:r>
          </w:p>
        </w:tc>
        <w:tc>
          <w:tcPr>
            <w:tcW w:type="dxa" w:w="228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$2M–$500M</w:t>
            </w:r>
          </w:p>
        </w:tc>
      </w:tr>
      <w:tr>
        <w:tc>
          <w:tcPr>
            <w:tcW w:type="dxa" w:w="2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Startup Founder (CEO)</w:t>
            </w:r>
          </w:p>
        </w:tc>
        <w:tc>
          <w:tcPr>
            <w:tcW w:type="dxa" w:w="2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1–3 major hiring/partnership decisions/year</w:t>
            </w:r>
          </w:p>
        </w:tc>
        <w:tc>
          <w:tcPr>
            <w:tcW w:type="dxa" w:w="268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$200K–$5M</w:t>
            </w:r>
          </w:p>
        </w:tc>
        <w:tc>
          <w:tcPr>
            <w:tcW w:type="dxa" w:w="228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$200K–$15M</w:t>
            </w:r>
          </w:p>
        </w:tc>
      </w:tr>
    </w:tbl>
    <w:p>
      <w:pPr>
        <w:spacing w:before="120" w:after="120"/>
      </w:pPr>
      <w:r>
        <w:t xml:space="preserve"/>
      </w:r>
    </w:p>
    <w:p>
      <w:pPr>
        <w:spacing w:before="80" w:after="120"/>
        <w:jc w:val="both"/>
      </w:pPr>
      <w:r>
        <w:rPr>
          <w:rFonts w:ascii="Arial" w:cs="Arial" w:eastAsia="Arial" w:hAnsi="Arial"/>
          <w:color w:val="1E1E2E"/>
          <w:sz w:val="22"/>
          <w:szCs w:val="22"/>
        </w:rPr>
        <w:t xml:space="preserve">The aggregate annual value at risk from poor decision-making at the leadership level in the US alone exceeds $500 billion according to McKinsey Global Institute research on corporate decision quality. Even a marginal improvement in conviction quality — moving from a 55% to a 65% hit rate on critical decisions — generates disproportionate returns at the individual and portfolio level.</w:t>
      </w:r>
    </w:p>
    <w:p>
      <w:r>
        <w:br w:type="page"/>
      </w:r>
    </w:p>
    <w:p>
      <w:pPr>
        <w:spacing w:before="200" w:after="80"/>
      </w:pPr>
      <w:r>
        <w:rPr>
          <w:rFonts w:ascii="Arial" w:cs="Arial" w:eastAsia="Arial" w:hAnsi="Arial"/>
          <w:b/>
          <w:bCs/>
          <w:color w:val="E8501A"/>
          <w:spacing w:val="60"/>
          <w:sz w:val="18"/>
          <w:szCs w:val="18"/>
        </w:rPr>
        <w:t xml:space="preserve">PART III</w:t>
      </w:r>
    </w:p>
    <w:p>
      <w:pPr>
        <w:pStyle w:val="Heading1"/>
        <w:pBdr>
          <w:bottom w:val="single" w:color="E8501A" w:sz="4" w:space="4"/>
        </w:pBdr>
        <w:spacing w:before="400" w:after="160"/>
      </w:pPr>
      <w:r>
        <w:rPr>
          <w:rFonts w:ascii="Arial" w:cs="Arial" w:eastAsia="Arial" w:hAnsi="Arial"/>
          <w:b/>
          <w:bCs/>
          <w:color w:val="0F2D59"/>
          <w:sz w:val="36"/>
          <w:szCs w:val="36"/>
        </w:rPr>
        <w:t xml:space="preserve">The Solution: Skeptical Principal Architecture</w:t>
      </w:r>
    </w:p>
    <w:p>
      <w:pPr>
        <w:spacing w:before="120" w:after="160"/>
        <w:jc w:val="both"/>
      </w:pPr>
      <w:r>
        <w:rPr>
          <w:rFonts w:ascii="Arial" w:cs="Arial" w:eastAsia="Arial" w:hAnsi="Arial"/>
          <w:i/>
          <w:iCs/>
          <w:color w:val="1E1E2E"/>
          <w:sz w:val="24"/>
          <w:szCs w:val="24"/>
        </w:rPr>
        <w:t xml:space="preserve">Robin.ai's technical and product differentiation rests on a single, unconventional design philosophy: every output must be anchored to evidence, every gap must be surfaced, and every conflict must be named. We call this the Skeptical Principal Architecture — and it is the foundation upon which every feature is built.</w:t>
      </w:r>
    </w:p>
    <w:p>
      <w:pPr>
        <w:pStyle w:val="Heading2"/>
        <w:spacing w:before="320" w:after="120"/>
      </w:pPr>
      <w:r>
        <w:rPr>
          <w:rFonts w:ascii="Arial" w:cs="Arial" w:eastAsia="Arial" w:hAnsi="Arial"/>
          <w:b/>
          <w:bCs/>
          <w:color w:val="1E1E2E"/>
          <w:sz w:val="28"/>
          <w:szCs w:val="28"/>
        </w:rPr>
        <w:t xml:space="preserve">3.1  Architecture Overview</w:t>
      </w:r>
    </w:p>
    <w:p>
      <w:pPr>
        <w:spacing w:before="80" w:after="120"/>
        <w:jc w:val="both"/>
      </w:pPr>
      <w:r>
        <w:rPr>
          <w:rFonts w:ascii="Arial" w:cs="Arial" w:eastAsia="Arial" w:hAnsi="Arial"/>
          <w:color w:val="1E1E2E"/>
          <w:sz w:val="22"/>
          <w:szCs w:val="22"/>
        </w:rPr>
        <w:t xml:space="preserve">The Skeptical Principal Architecture (SPA) consists of three proprietary processing layers that transform raw conversational data into validated, evidence-anchored intelligence. These layers operate sequentially but are designed to be modular — each can be invoked independently or as part of a full pipeline.</w:t>
      </w:r>
    </w:p>
    <w:p>
      <w:pPr>
        <w:pStyle w:val="Heading3"/>
        <w:spacing w:before="240" w:after="100"/>
      </w:pPr>
      <w:r>
        <w:rPr>
          <w:rFonts w:ascii="Arial" w:cs="Arial" w:eastAsia="Arial" w:hAnsi="Arial"/>
          <w:b/>
          <w:bCs/>
          <w:color w:val="1A4A8A"/>
          <w:sz w:val="24"/>
          <w:szCs w:val="24"/>
        </w:rPr>
        <w:t xml:space="preserve">Layer 1: Semantic Evidence Logs (The Anti-Summary Engine)</w:t>
      </w:r>
    </w:p>
    <w:p>
      <w:pPr>
        <w:spacing w:before="80" w:after="120"/>
        <w:jc w:val="both"/>
      </w:pPr>
      <w:r>
        <w:rPr>
          <w:rFonts w:ascii="Arial" w:cs="Arial" w:eastAsia="Arial" w:hAnsi="Arial"/>
          <w:color w:val="1E1E2E"/>
          <w:sz w:val="22"/>
          <w:szCs w:val="22"/>
        </w:rPr>
        <w:t xml:space="preserve">Most AI tools immediately summarize incoming transcripts, discarding the source material in favor of a distilled representation. This is the root cause of AI hallucination in downstream analysis: once the source material is abstracted away, there is no ground truth to check claims against.</w:t>
      </w:r>
    </w:p>
    <w:p>
      <w:pPr>
        <w:spacing w:before="80" w:after="120"/>
        <w:jc w:val="both"/>
      </w:pPr>
      <w:r>
        <w:rPr>
          <w:rFonts w:ascii="Arial" w:cs="Arial" w:eastAsia="Arial" w:hAnsi="Arial"/>
          <w:color w:val="1E1E2E"/>
          <w:sz w:val="22"/>
          <w:szCs w:val="22"/>
        </w:rPr>
        <w:t xml:space="preserve">Robin.ai's Semantic Evidence Logs (SEL) take the opposite approach. Every claim detected in incoming text — defined as any assertion that can be objectively validated or contradicted — is extracted and anchored to its exact source quotation. The claim is never presented without the quote. If a claim cannot be traced to a specific utterance, it is automatically tagged as 'Unverified' and excluded from the conviction score.</w:t>
      </w:r>
    </w:p>
    <w:p>
      <w:pPr>
        <w:spacing w:before="80" w:after="120"/>
        <w:jc w:val="both"/>
      </w:pPr>
      <w:r>
        <w:rPr>
          <w:rFonts w:ascii="Arial" w:cs="Arial" w:eastAsia="Arial" w:hAnsi="Arial"/>
          <w:color w:val="1E1E2E"/>
          <w:sz w:val="22"/>
          <w:szCs w:val="22"/>
        </w:rPr>
        <w:t xml:space="preserve">This architecture produces a fundamentally different output than a summary: an Evidence Map. The Evidence Map shows not what was said, but what was claimed and what support exists for each claim.</w:t>
      </w:r>
    </w:p>
    <w:p>
      <w:pPr>
        <w:pStyle w:val="Heading3"/>
        <w:spacing w:before="240" w:after="100"/>
      </w:pPr>
      <w:r>
        <w:rPr>
          <w:rFonts w:ascii="Arial" w:cs="Arial" w:eastAsia="Arial" w:hAnsi="Arial"/>
          <w:b/>
          <w:bCs/>
          <w:color w:val="1A4A8A"/>
          <w:sz w:val="24"/>
          <w:szCs w:val="24"/>
        </w:rPr>
        <w:t xml:space="preserve">Layer 2: Conflict Reporter (The Cross-Stream Intelligence Engine)</w:t>
      </w:r>
    </w:p>
    <w:p>
      <w:pPr>
        <w:spacing w:before="80" w:after="120"/>
        <w:jc w:val="both"/>
      </w:pPr>
      <w:r>
        <w:rPr>
          <w:rFonts w:ascii="Arial" w:cs="Arial" w:eastAsia="Arial" w:hAnsi="Arial"/>
          <w:color w:val="1E1E2E"/>
          <w:sz w:val="22"/>
          <w:szCs w:val="22"/>
        </w:rPr>
        <w:t xml:space="preserve">High-bandwidth professionals interact with information across multiple streams simultaneously. The formal meeting (documented in tools like Granola) represents one stream — the curated, public-facing version of a conversation. The private voice note or dictation (captured in tools like Wispr) represents another — the unguarded, immediate emotional and analytical reaction.</w:t>
      </w:r>
    </w:p>
    <w:p>
      <w:pPr>
        <w:spacing w:before="80" w:after="120"/>
        <w:jc w:val="both"/>
      </w:pPr>
      <w:r>
        <w:rPr>
          <w:rFonts w:ascii="Arial" w:cs="Arial" w:eastAsia="Arial" w:hAnsi="Arial"/>
          <w:color w:val="1E1E2E"/>
          <w:sz w:val="22"/>
          <w:szCs w:val="22"/>
        </w:rPr>
        <w:t xml:space="preserve">These two streams frequently diverge. The Conflict Reporter ingests both, performs semantic alignment across the two narratives, and identifies three categories of conflict:</w:t>
      </w:r>
    </w:p>
    <w:p>
      <w:pPr>
        <w:pStyle w:val="ListParagraph"/>
        <w:numPr>
          <w:ilvl w:val="0"/>
          <w:numId w:val="2"/>
        </w:numPr>
        <w:spacing w:before="60" w:after="60"/>
      </w:pPr>
      <w:r>
        <w:rPr>
          <w:rFonts w:ascii="Arial" w:cs="Arial" w:eastAsia="Arial" w:hAnsi="Arial"/>
          <w:b/>
          <w:bCs/>
          <w:color w:val="0F2D59"/>
          <w:sz w:val="22"/>
          <w:szCs w:val="22"/>
        </w:rPr>
        <w:t xml:space="preserve">Type A: Factual Conflicts: </w:t>
      </w:r>
      <w:r>
        <w:rPr>
          <w:rFonts w:ascii="Arial" w:cs="Arial" w:eastAsia="Arial" w:hAnsi="Arial"/>
          <w:color w:val="1E1E2E"/>
          <w:sz w:val="22"/>
          <w:szCs w:val="22"/>
        </w:rPr>
        <w:t xml:space="preserve">A specific claim in the public transcript directly contradicts a factual observation in the private dictation (e.g., 'Founder said 40% MoM growth' vs. 'I noticed he couldn't define the cohort when I probed').</w:t>
      </w:r>
    </w:p>
    <w:p>
      <w:pPr>
        <w:pStyle w:val="ListParagraph"/>
        <w:numPr>
          <w:ilvl w:val="0"/>
          <w:numId w:val="2"/>
        </w:numPr>
        <w:spacing w:before="60" w:after="60"/>
      </w:pPr>
      <w:r>
        <w:rPr>
          <w:rFonts w:ascii="Arial" w:cs="Arial" w:eastAsia="Arial" w:hAnsi="Arial"/>
          <w:b/>
          <w:bCs/>
          <w:color w:val="0F2D59"/>
          <w:sz w:val="22"/>
          <w:szCs w:val="22"/>
        </w:rPr>
        <w:t xml:space="preserve">Type B: Tonal Conflicts: </w:t>
      </w:r>
      <w:r>
        <w:rPr>
          <w:rFonts w:ascii="Arial" w:cs="Arial" w:eastAsia="Arial" w:hAnsi="Arial"/>
          <w:color w:val="1E1E2E"/>
          <w:sz w:val="22"/>
          <w:szCs w:val="22"/>
        </w:rPr>
        <w:t xml:space="preserve">The emotional register of the private dictation is markedly different from the factual content of the public transcript (e.g., a detailed positive pitch followed by a private note expressing unease about the founder's credibility).</w:t>
      </w:r>
    </w:p>
    <w:p>
      <w:pPr>
        <w:pStyle w:val="ListParagraph"/>
        <w:numPr>
          <w:ilvl w:val="0"/>
          <w:numId w:val="2"/>
        </w:numPr>
        <w:spacing w:before="60" w:after="60"/>
      </w:pPr>
      <w:r>
        <w:rPr>
          <w:rFonts w:ascii="Arial" w:cs="Arial" w:eastAsia="Arial" w:hAnsi="Arial"/>
          <w:b/>
          <w:bCs/>
          <w:color w:val="0F2D59"/>
          <w:sz w:val="22"/>
          <w:szCs w:val="22"/>
        </w:rPr>
        <w:t xml:space="preserve">Type C: Omission Conflicts: </w:t>
      </w:r>
      <w:r>
        <w:rPr>
          <w:rFonts w:ascii="Arial" w:cs="Arial" w:eastAsia="Arial" w:hAnsi="Arial"/>
          <w:color w:val="1E1E2E"/>
          <w:sz w:val="22"/>
          <w:szCs w:val="22"/>
        </w:rPr>
        <w:t xml:space="preserve">The user's private dictation references a topic or concern that was notably absent from the formal transcript, suggesting the founder or counterpart deliberately avoided the topic.</w:t>
      </w:r>
    </w:p>
    <w:p>
      <w:pPr>
        <w:spacing w:before="80" w:after="120"/>
        <w:jc w:val="both"/>
      </w:pPr>
      <w:r>
        <w:rPr>
          <w:rFonts w:ascii="Arial" w:cs="Arial" w:eastAsia="Arial" w:hAnsi="Arial"/>
          <w:color w:val="1E1E2E"/>
          <w:sz w:val="22"/>
          <w:szCs w:val="22"/>
        </w:rPr>
        <w:t xml:space="preserve">All conflicts are displayed in a side-by-side conflict view, with the exact source quotations from each stream and a severity rating (Low / Medium / High) based on the strategic importance of the discrepancy.</w:t>
      </w:r>
    </w:p>
    <w:p>
      <w:pPr>
        <w:pStyle w:val="Heading3"/>
        <w:spacing w:before="240" w:after="100"/>
      </w:pPr>
      <w:r>
        <w:rPr>
          <w:rFonts w:ascii="Arial" w:cs="Arial" w:eastAsia="Arial" w:hAnsi="Arial"/>
          <w:b/>
          <w:bCs/>
          <w:color w:val="1A4A8A"/>
          <w:sz w:val="24"/>
          <w:szCs w:val="24"/>
        </w:rPr>
        <w:t xml:space="preserve">Layer 3: GRUE Stress-Test (The Diligence Automation Engine)</w:t>
      </w:r>
    </w:p>
    <w:p>
      <w:pPr>
        <w:spacing w:before="80" w:after="120"/>
        <w:jc w:val="both"/>
      </w:pPr>
      <w:r>
        <w:rPr>
          <w:rFonts w:ascii="Arial" w:cs="Arial" w:eastAsia="Arial" w:hAnsi="Arial"/>
          <w:color w:val="1E1E2E"/>
          <w:sz w:val="22"/>
          <w:szCs w:val="22"/>
        </w:rPr>
        <w:t xml:space="preserve">GRUE — Growth, Retention, and Unit Economics — represents the three pillars of rigorous startup analysis. Every VC-grade investment decision ultimately reduces to an evaluation of these three factors: how fast is the business growing, how durable is that growth, and what is the underlying economic structure that makes it sustainable or not?</w:t>
      </w:r>
    </w:p>
    <w:p>
      <w:pPr>
        <w:spacing w:before="80" w:after="120"/>
        <w:jc w:val="both"/>
      </w:pPr>
      <w:r>
        <w:rPr>
          <w:rFonts w:ascii="Arial" w:cs="Arial" w:eastAsia="Arial" w:hAnsi="Arial"/>
          <w:color w:val="1E1E2E"/>
          <w:sz w:val="22"/>
          <w:szCs w:val="22"/>
        </w:rPr>
        <w:t xml:space="preserve">The GRUE Stress-Test is a hard-coded analytical framework that automatically generates a Diligence Checklist for every conversation analyzed. The checklist identifies every metric within the GRUE framework that was not mentioned during the conversation and presents them as explicit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GRUE Domain</w:t>
            </w:r>
          </w:p>
        </w:tc>
        <w:tc>
          <w:tcPr>
            <w:tcW w:type="dxa" w:w="416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Key Metrics Tracked</w:t>
            </w:r>
          </w:p>
        </w:tc>
        <w:tc>
          <w:tcPr>
            <w:tcW w:type="dxa" w:w="32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Detection Method</w:t>
            </w:r>
          </w:p>
        </w:tc>
      </w:tr>
      <w:tr>
        <w:tc>
          <w:tcPr>
            <w:tcW w:type="dxa" w:w="20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Growth</w:t>
            </w:r>
          </w:p>
        </w:tc>
        <w:tc>
          <w:tcPr>
            <w:tcW w:type="dxa" w:w="41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MoM/YoY revenue growth, CAC, lead velocity, pipeline coverage</w:t>
            </w:r>
          </w:p>
        </w:tc>
        <w:tc>
          <w:tcPr>
            <w:tcW w:type="dxa" w:w="3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Keyword + semantic extraction</w:t>
            </w:r>
          </w:p>
        </w:tc>
      </w:tr>
      <w:tr>
        <w:tc>
          <w:tcPr>
            <w:tcW w:type="dxa" w:w="20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Retention</w:t>
            </w:r>
          </w:p>
        </w:tc>
        <w:tc>
          <w:tcPr>
            <w:tcW w:type="dxa" w:w="41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Net Revenue Retention, Logo Retention, Churn Rate, LTV, Cohort analysis</w:t>
            </w:r>
          </w:p>
        </w:tc>
        <w:tc>
          <w:tcPr>
            <w:tcW w:type="dxa" w:w="3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Claim extraction + absence detection</w:t>
            </w:r>
          </w:p>
        </w:tc>
      </w:tr>
      <w:tr>
        <w:tc>
          <w:tcPr>
            <w:tcW w:type="dxa" w:w="20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Unit Economics</w:t>
            </w:r>
          </w:p>
        </w:tc>
        <w:tc>
          <w:tcPr>
            <w:tcW w:type="dxa" w:w="41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Gross Margin, LTV:CAC ratio, Payback period, Burn multiple, Rule of 40</w:t>
            </w:r>
          </w:p>
        </w:tc>
        <w:tc>
          <w:tcPr>
            <w:tcW w:type="dxa" w:w="3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Numeric claim + absence detection</w:t>
            </w:r>
          </w:p>
        </w:tc>
      </w:tr>
      <w:tr>
        <w:tc>
          <w:tcPr>
            <w:tcW w:type="dxa" w:w="20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Qualitative Moat</w:t>
            </w:r>
          </w:p>
        </w:tc>
        <w:tc>
          <w:tcPr>
            <w:tcW w:type="dxa" w:w="41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Product differentiation, Network effects, Switching costs, IP</w:t>
            </w:r>
          </w:p>
        </w:tc>
        <w:tc>
          <w:tcPr>
            <w:tcW w:type="dxa" w:w="3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Semantic evidence scoring</w:t>
            </w:r>
          </w:p>
        </w:tc>
      </w:tr>
      <w:tr>
        <w:tc>
          <w:tcPr>
            <w:tcW w:type="dxa" w:w="20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Team &amp; Execution</w:t>
            </w:r>
          </w:p>
        </w:tc>
        <w:tc>
          <w:tcPr>
            <w:tcW w:type="dxa" w:w="41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Founder-market fit signals, Previous exits, Domain expertise</w:t>
            </w:r>
          </w:p>
        </w:tc>
        <w:tc>
          <w:tcPr>
            <w:tcW w:type="dxa" w:w="3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Pedigree intelligence layer</w:t>
            </w:r>
          </w:p>
        </w:tc>
      </w:tr>
    </w:tbl>
    <w:p>
      <w:pPr>
        <w:spacing w:before="120" w:after="120"/>
      </w:pPr>
      <w:r>
        <w:t xml:space="preserve"/>
      </w:r>
    </w:p>
    <w:p>
      <w:pPr>
        <w:pStyle w:val="Heading2"/>
        <w:spacing w:before="320" w:after="120"/>
      </w:pPr>
      <w:r>
        <w:rPr>
          <w:rFonts w:ascii="Arial" w:cs="Arial" w:eastAsia="Arial" w:hAnsi="Arial"/>
          <w:b/>
          <w:bCs/>
          <w:color w:val="1E1E2E"/>
          <w:sz w:val="28"/>
          <w:szCs w:val="28"/>
        </w:rPr>
        <w:t xml:space="preserve">3.2  The Pedigree Intelligence Layer (Network Trust Engine)</w:t>
      </w:r>
    </w:p>
    <w:p>
      <w:pPr>
        <w:spacing w:before="80" w:after="120"/>
        <w:jc w:val="both"/>
      </w:pPr>
      <w:r>
        <w:rPr>
          <w:rFonts w:ascii="Arial" w:cs="Arial" w:eastAsia="Arial" w:hAnsi="Arial"/>
          <w:color w:val="1E1E2E"/>
          <w:sz w:val="22"/>
          <w:szCs w:val="22"/>
        </w:rPr>
        <w:t xml:space="preserve">Over time, as Robin.ai accumulates interaction data across its user base, a fourth layer activates: the Pedigree Intelligence Network. This layer maintains structured profiles of recurring individuals — founders, executives, partners — across the network, tracking claim consistency across multiple interactions and building a reputation intelligence graph.</w:t>
      </w:r>
    </w:p>
    <w:p>
      <w:pPr>
        <w:spacing w:before="80" w:after="120"/>
        <w:jc w:val="both"/>
      </w:pPr>
      <w:r>
        <w:rPr>
          <w:rFonts w:ascii="Arial" w:cs="Arial" w:eastAsia="Arial" w:hAnsi="Arial"/>
          <w:color w:val="1E1E2E"/>
          <w:sz w:val="22"/>
          <w:szCs w:val="22"/>
        </w:rPr>
        <w:t xml:space="preserve">If a founder pitches Fund A and Fund B both using Robin.ai, and makes materially different factual claims to each, the system flags this discrepancy when the second fund reviews their analysis. The Pedigree Intelligence layer transforms Robin.ai from a single-session tool into a network-level trust infrastructure — the equivalent of a distributed diligence database built from the ground up by the people doing the deals.</w:t>
      </w:r>
    </w:p>
    <w:p>
      <w:pPr>
        <w:spacing w:before="80" w:after="120"/>
        <w:jc w:val="both"/>
      </w:pPr>
      <w:r>
        <w:rPr>
          <w:rFonts w:ascii="Arial" w:cs="Arial" w:eastAsia="Arial" w:hAnsi="Arial"/>
          <w:color w:val="1E1E2E"/>
          <w:sz w:val="22"/>
          <w:szCs w:val="22"/>
        </w:rPr>
        <w:t xml:space="preserve">This is Robin.ai's core network effect moat: the more funds and executives use the system, the more powerful the intelligence becomes, and the harder it becomes for any alternative to replicate.</w:t>
      </w:r>
    </w:p>
    <w:p>
      <w:pPr>
        <w:pStyle w:val="Heading2"/>
        <w:spacing w:before="320" w:after="120"/>
      </w:pPr>
      <w:r>
        <w:rPr>
          <w:rFonts w:ascii="Arial" w:cs="Arial" w:eastAsia="Arial" w:hAnsi="Arial"/>
          <w:b/>
          <w:bCs/>
          <w:color w:val="1E1E2E"/>
          <w:sz w:val="28"/>
          <w:szCs w:val="28"/>
        </w:rPr>
        <w:t xml:space="preserve">3.3  The BYOK Architecture (Bring Your Own Key)</w:t>
      </w:r>
    </w:p>
    <w:p>
      <w:pPr>
        <w:spacing w:before="80" w:after="120"/>
        <w:jc w:val="both"/>
      </w:pPr>
      <w:r>
        <w:rPr>
          <w:rFonts w:ascii="Arial" w:cs="Arial" w:eastAsia="Arial" w:hAnsi="Arial"/>
          <w:color w:val="1E1E2E"/>
          <w:sz w:val="22"/>
          <w:szCs w:val="22"/>
        </w:rPr>
        <w:t xml:space="preserve">Robin.ai is designed from the ground up for data-paranoid users. Venture capitalists operate in an environment of extreme information sensitivity — the contents of a founder pitch represent non-public material information with real legal and competitive implications. Any AI tool that processes this data must address two non-negotiable requirements: privacy and sovereignty.</w:t>
      </w:r>
    </w:p>
    <w:p>
      <w:pPr>
        <w:spacing w:before="80" w:after="120"/>
        <w:jc w:val="both"/>
      </w:pPr>
      <w:r>
        <w:rPr>
          <w:rFonts w:ascii="Arial" w:cs="Arial" w:eastAsia="Arial" w:hAnsi="Arial"/>
          <w:color w:val="1E1E2E"/>
          <w:sz w:val="22"/>
          <w:szCs w:val="22"/>
        </w:rPr>
        <w:t xml:space="preserve">Robin.ai's BYOK (Bring Your Own Key) architecture allows users to connect their own OpenAI, Anthropic, or Groq API keys. All LLM inference is performed using the user's own credentials, meaning Robin.ai never has access to the prompt content or the inference outputs. The user's data never touches Robin.ai's servers in its raw form.</w:t>
      </w:r>
    </w:p>
    <w:p>
      <w:pPr>
        <w:spacing w:before="80" w:after="120"/>
        <w:jc w:val="both"/>
      </w:pPr>
      <w:r>
        <w:rPr>
          <w:rFonts w:ascii="Arial" w:cs="Arial" w:eastAsia="Arial" w:hAnsi="Arial"/>
          <w:color w:val="1E1E2E"/>
          <w:sz w:val="22"/>
          <w:szCs w:val="22"/>
        </w:rPr>
        <w:t xml:space="preserve">This architecture simultaneously solves four strategic problems:</w:t>
      </w:r>
    </w:p>
    <w:p>
      <w:pPr>
        <w:pStyle w:val="ListParagraph"/>
        <w:numPr>
          <w:ilvl w:val="0"/>
          <w:numId w:val="2"/>
        </w:numPr>
        <w:spacing w:before="60" w:after="60"/>
      </w:pPr>
      <w:r>
        <w:rPr>
          <w:rFonts w:ascii="Arial" w:cs="Arial" w:eastAsia="Arial" w:hAnsi="Arial"/>
          <w:color w:val="1E1E2E"/>
          <w:sz w:val="22"/>
          <w:szCs w:val="22"/>
        </w:rPr>
        <w:t xml:space="preserve">Data sovereignty: The fund's information stays within the fund's own API boundary</w:t>
      </w:r>
    </w:p>
    <w:p>
      <w:pPr>
        <w:pStyle w:val="ListParagraph"/>
        <w:numPr>
          <w:ilvl w:val="0"/>
          <w:numId w:val="2"/>
        </w:numPr>
        <w:spacing w:before="60" w:after="60"/>
      </w:pPr>
      <w:r>
        <w:rPr>
          <w:rFonts w:ascii="Arial" w:cs="Arial" w:eastAsia="Arial" w:hAnsi="Arial"/>
          <w:color w:val="1E1E2E"/>
          <w:sz w:val="22"/>
          <w:szCs w:val="22"/>
        </w:rPr>
        <w:t xml:space="preserve">Regulatory compliance: No third-party data processing agreements required for sensitive material</w:t>
      </w:r>
    </w:p>
    <w:p>
      <w:pPr>
        <w:pStyle w:val="ListParagraph"/>
        <w:numPr>
          <w:ilvl w:val="0"/>
          <w:numId w:val="2"/>
        </w:numPr>
        <w:spacing w:before="60" w:after="60"/>
      </w:pPr>
      <w:r>
        <w:rPr>
          <w:rFonts w:ascii="Arial" w:cs="Arial" w:eastAsia="Arial" w:hAnsi="Arial"/>
          <w:color w:val="1E1E2E"/>
          <w:sz w:val="22"/>
          <w:szCs w:val="22"/>
        </w:rPr>
        <w:t xml:space="preserve">Cost structure: Robin.ai does not bear the marginal cost of LLM inference, dramatically improving unit economics</w:t>
      </w:r>
    </w:p>
    <w:p>
      <w:pPr>
        <w:pStyle w:val="ListParagraph"/>
        <w:numPr>
          <w:ilvl w:val="0"/>
          <w:numId w:val="2"/>
        </w:numPr>
        <w:spacing w:before="60" w:after="60"/>
      </w:pPr>
      <w:r>
        <w:rPr>
          <w:rFonts w:ascii="Arial" w:cs="Arial" w:eastAsia="Arial" w:hAnsi="Arial"/>
          <w:color w:val="1E1E2E"/>
          <w:sz w:val="22"/>
          <w:szCs w:val="22"/>
        </w:rPr>
        <w:t xml:space="preserve">Trust: The BYOK model is a credibility signal to sophisticated users — it is the architecture of a tool built by people who actually understand their users' concerns</w:t>
      </w:r>
    </w:p>
    <w:p>
      <w:r>
        <w:br w:type="page"/>
      </w:r>
    </w:p>
    <w:p>
      <w:pPr>
        <w:spacing w:before="200" w:after="80"/>
      </w:pPr>
      <w:r>
        <w:rPr>
          <w:rFonts w:ascii="Arial" w:cs="Arial" w:eastAsia="Arial" w:hAnsi="Arial"/>
          <w:b/>
          <w:bCs/>
          <w:color w:val="E8501A"/>
          <w:spacing w:val="60"/>
          <w:sz w:val="18"/>
          <w:szCs w:val="18"/>
        </w:rPr>
        <w:t xml:space="preserve">PART IV</w:t>
      </w:r>
    </w:p>
    <w:p>
      <w:pPr>
        <w:pStyle w:val="Heading1"/>
        <w:pBdr>
          <w:bottom w:val="single" w:color="E8501A" w:sz="4" w:space="4"/>
        </w:pBdr>
        <w:spacing w:before="400" w:after="160"/>
      </w:pPr>
      <w:r>
        <w:rPr>
          <w:rFonts w:ascii="Arial" w:cs="Arial" w:eastAsia="Arial" w:hAnsi="Arial"/>
          <w:b/>
          <w:bCs/>
          <w:color w:val="0F2D59"/>
          <w:sz w:val="36"/>
          <w:szCs w:val="36"/>
        </w:rPr>
        <w:t xml:space="preserve">Market Analysis: The Addressable Universe</w:t>
      </w:r>
    </w:p>
    <w:p>
      <w:pPr>
        <w:spacing w:before="120" w:after="160"/>
        <w:jc w:val="both"/>
      </w:pPr>
      <w:r>
        <w:rPr>
          <w:rFonts w:ascii="Arial" w:cs="Arial" w:eastAsia="Arial" w:hAnsi="Arial"/>
          <w:i/>
          <w:iCs/>
          <w:color w:val="1E1E2E"/>
          <w:sz w:val="24"/>
          <w:szCs w:val="24"/>
        </w:rPr>
        <w:t xml:space="preserve">Robin.ai is entering at the intersection of three converging markets: the $4.2B Decision Intelligence market, the $6.8B Investor Tech market, and the emerging AI Productivity layer currently being repriced across every enterprise software category. Our initial wedge is precise; our eventual scope is category-defining.</w:t>
      </w:r>
    </w:p>
    <w:p>
      <w:pPr>
        <w:pStyle w:val="Heading2"/>
        <w:spacing w:before="320" w:after="120"/>
      </w:pPr>
      <w:r>
        <w:rPr>
          <w:rFonts w:ascii="Arial" w:cs="Arial" w:eastAsia="Arial" w:hAnsi="Arial"/>
          <w:b/>
          <w:bCs/>
          <w:color w:val="1E1E2E"/>
          <w:sz w:val="28"/>
          <w:szCs w:val="28"/>
        </w:rPr>
        <w:t xml:space="preserve">4.1  Market Sizing Methodology</w:t>
      </w:r>
    </w:p>
    <w:p>
      <w:pPr>
        <w:spacing w:before="80" w:after="120"/>
        <w:jc w:val="both"/>
      </w:pPr>
      <w:r>
        <w:rPr>
          <w:rFonts w:ascii="Arial" w:cs="Arial" w:eastAsia="Arial" w:hAnsi="Arial"/>
          <w:color w:val="1E1E2E"/>
          <w:sz w:val="22"/>
          <w:szCs w:val="22"/>
        </w:rPr>
        <w:t xml:space="preserve">We approach market sizing using a bottoms-up model grounded in user counts and willingness-to-pay data, then cross-reference with top-down TAM estimates from secondary research. We identify three distinct market horizons: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560"/>
        <w:gridCol w:w="2400"/>
      </w:tblGrid>
      <w:tr>
        <w:tc>
          <w:tcPr>
            <w:tcW w:type="dxa" w:w="12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Horizon</w:t>
            </w:r>
          </w:p>
        </w:tc>
        <w:tc>
          <w:tcPr>
            <w:tcW w:type="dxa" w:w="24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Segment</w:t>
            </w:r>
          </w:p>
        </w:tc>
        <w:tc>
          <w:tcPr>
            <w:tcW w:type="dxa" w:w="18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Users (Global)</w:t>
            </w:r>
          </w:p>
        </w:tc>
        <w:tc>
          <w:tcPr>
            <w:tcW w:type="dxa" w:w="156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ARPU Target</w:t>
            </w:r>
          </w:p>
        </w:tc>
        <w:tc>
          <w:tcPr>
            <w:tcW w:type="dxa" w:w="24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Revenue Potential</w:t>
            </w:r>
          </w:p>
        </w:tc>
      </w:tr>
      <w:tr>
        <w:tc>
          <w:tcPr>
            <w:tcW w:type="dxa" w:w="1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H1 (Years 0–2)</w:t>
            </w:r>
          </w:p>
        </w:tc>
        <w:tc>
          <w:tcPr>
            <w:tcW w:type="dxa" w:w="24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Active VC Partners &amp; Associates (India + US)</w:t>
            </w:r>
          </w:p>
        </w:tc>
        <w:tc>
          <w:tcPr>
            <w:tcW w:type="dxa" w:w="18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~80,000</w:t>
            </w:r>
          </w:p>
        </w:tc>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$2,400/yr</w:t>
            </w:r>
          </w:p>
        </w:tc>
        <w:tc>
          <w:tcPr>
            <w:tcW w:type="dxa" w:w="24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$192M</w:t>
            </w:r>
          </w:p>
        </w:tc>
      </w:tr>
      <w:tr>
        <w:tc>
          <w:tcPr>
            <w:tcW w:type="dxa" w:w="1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H2 (Years 2–4)</w:t>
            </w:r>
          </w:p>
        </w:tc>
        <w:tc>
          <w:tcPr>
            <w:tcW w:type="dxa" w:w="24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Fortune 500 C-Suite &amp; Chiefs of Staff</w:t>
            </w:r>
          </w:p>
        </w:tc>
        <w:tc>
          <w:tcPr>
            <w:tcW w:type="dxa" w:w="18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~500,000</w:t>
            </w:r>
          </w:p>
        </w:tc>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$3,600/yr</w:t>
            </w:r>
          </w:p>
        </w:tc>
        <w:tc>
          <w:tcPr>
            <w:tcW w:type="dxa" w:w="24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$1.8B</w:t>
            </w:r>
          </w:p>
        </w:tc>
      </w:tr>
      <w:tr>
        <w:tc>
          <w:tcPr>
            <w:tcW w:type="dxa" w:w="1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H3 (Years 4–7)</w:t>
            </w:r>
          </w:p>
        </w:tc>
        <w:tc>
          <w:tcPr>
            <w:tcW w:type="dxa" w:w="24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Global High-Bandwidth Professionals (M&amp;A, Legal, Medicine)</w:t>
            </w:r>
          </w:p>
        </w:tc>
        <w:tc>
          <w:tcPr>
            <w:tcW w:type="dxa" w:w="18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~5,000,000</w:t>
            </w:r>
          </w:p>
        </w:tc>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$1,200/yr</w:t>
            </w:r>
          </w:p>
        </w:tc>
        <w:tc>
          <w:tcPr>
            <w:tcW w:type="dxa" w:w="24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$6B+</w:t>
            </w:r>
          </w:p>
        </w:tc>
      </w:tr>
    </w:tbl>
    <w:p>
      <w:pPr>
        <w:spacing w:before="120" w:after="120"/>
      </w:pPr>
      <w:r>
        <w:t xml:space="preserve"/>
      </w:r>
    </w:p>
    <w:p>
      <w:pPr>
        <w:pStyle w:val="Heading2"/>
        <w:spacing w:before="320" w:after="120"/>
      </w:pPr>
      <w:r>
        <w:rPr>
          <w:rFonts w:ascii="Arial" w:cs="Arial" w:eastAsia="Arial" w:hAnsi="Arial"/>
          <w:b/>
          <w:bCs/>
          <w:color w:val="1E1E2E"/>
          <w:sz w:val="28"/>
          <w:szCs w:val="28"/>
        </w:rPr>
        <w:t xml:space="preserve">4.2  Phase 1 Deep Dive: The VC Ecosystem</w:t>
      </w:r>
    </w:p>
    <w:p>
      <w:pPr>
        <w:spacing w:before="80" w:after="120"/>
        <w:jc w:val="both"/>
      </w:pPr>
      <w:r>
        <w:rPr>
          <w:rFonts w:ascii="Arial" w:cs="Arial" w:eastAsia="Arial" w:hAnsi="Arial"/>
          <w:color w:val="1E1E2E"/>
          <w:sz w:val="22"/>
          <w:szCs w:val="22"/>
        </w:rPr>
        <w:t xml:space="preserve">The venture capital ecosystem is the highest-density environment for the specific type of decision-making Robin.ai addresses. Several structural characteristics make it the ideal initial market:</w:t>
      </w:r>
    </w:p>
    <w:p>
      <w:pPr>
        <w:pStyle w:val="Heading3"/>
        <w:spacing w:before="240" w:after="100"/>
      </w:pPr>
      <w:r>
        <w:rPr>
          <w:rFonts w:ascii="Arial" w:cs="Arial" w:eastAsia="Arial" w:hAnsi="Arial"/>
          <w:b/>
          <w:bCs/>
          <w:color w:val="1A4A8A"/>
          <w:sz w:val="24"/>
          <w:szCs w:val="24"/>
        </w:rPr>
        <w:t xml:space="preserve">Market Structure</w:t>
      </w:r>
    </w:p>
    <w:p>
      <w:pPr>
        <w:spacing w:before="80" w:after="120"/>
        <w:jc w:val="both"/>
      </w:pPr>
      <w:r>
        <w:rPr>
          <w:rFonts w:ascii="Arial" w:cs="Arial" w:eastAsia="Arial" w:hAnsi="Arial"/>
          <w:color w:val="1E1E2E"/>
          <w:sz w:val="22"/>
          <w:szCs w:val="22"/>
        </w:rPr>
        <w:t xml:space="preserve">There are approximately 18,000 active venture capital firms globally as of 2024. Of these, roughly 3,500 are meaningfully active (deploying capital in the last 24 months). Each active firm has between 2 and 15 decision-making partners and associates who conduct sourcing, diligence, and portfolio management — yielding a global addressable pool of approximately 80,000–120,000 users.</w:t>
      </w:r>
    </w:p>
    <w:p>
      <w:pPr>
        <w:spacing w:before="80" w:after="120"/>
        <w:jc w:val="both"/>
      </w:pPr>
      <w:r>
        <w:rPr>
          <w:rFonts w:ascii="Arial" w:cs="Arial" w:eastAsia="Arial" w:hAnsi="Arial"/>
          <w:color w:val="1E1E2E"/>
          <w:sz w:val="22"/>
          <w:szCs w:val="22"/>
        </w:rPr>
        <w:t xml:space="preserve">In the Indian ecosystem specifically, the IIT/IIM network represents a highly concentrated, highly networked community of approximately 8,000 active investors at funds ranging from Sequoia India and Accel to Tiger Global's India team and the emerging wave of founder-turned-investor micro-funds. This network has a strong viral coefficient: investment decisions are made and discussed within tight social circles, making word-of-mouth adoption unusually fast.</w:t>
      </w:r>
    </w:p>
    <w:p>
      <w:pPr>
        <w:pStyle w:val="Heading3"/>
        <w:spacing w:before="240" w:after="100"/>
      </w:pPr>
      <w:r>
        <w:rPr>
          <w:rFonts w:ascii="Arial" w:cs="Arial" w:eastAsia="Arial" w:hAnsi="Arial"/>
          <w:b/>
          <w:bCs/>
          <w:color w:val="1A4A8A"/>
          <w:sz w:val="24"/>
          <w:szCs w:val="24"/>
        </w:rPr>
        <w:t xml:space="preserve">Willingness-to-Pay Signal</w:t>
      </w:r>
    </w:p>
    <w:p>
      <w:pPr>
        <w:spacing w:before="80" w:after="120"/>
        <w:jc w:val="both"/>
      </w:pPr>
      <w:r>
        <w:rPr>
          <w:rFonts w:ascii="Arial" w:cs="Arial" w:eastAsia="Arial" w:hAnsi="Arial"/>
          <w:color w:val="1E1E2E"/>
          <w:sz w:val="22"/>
          <w:szCs w:val="22"/>
        </w:rPr>
        <w:t xml:space="preserve">Comparable tools in the VC tech stack provide strong willingness-to-pay benchmarks. Grata (company sourcing intelligence) commands $15,000–$30,000 per seat per year. Visible (portfolio monitoring) charges $500–$2,000/month for fund-wide access. Affinity (relationship intelligence CRM) charges $2,000–$5,000 per user per year.</w:t>
      </w:r>
    </w:p>
    <w:p>
      <w:pPr>
        <w:spacing w:before="80" w:after="120"/>
        <w:jc w:val="both"/>
      </w:pPr>
      <w:r>
        <w:rPr>
          <w:rFonts w:ascii="Arial" w:cs="Arial" w:eastAsia="Arial" w:hAnsi="Arial"/>
          <w:color w:val="1E1E2E"/>
          <w:sz w:val="22"/>
          <w:szCs w:val="22"/>
        </w:rPr>
        <w:t xml:space="preserve">Robin.ai targets a $199–$299/month individual subscription and $999–$2,499/month fund-wide plan — pricing that sits well below comparable tools relative to the decision-quality impact delivered. At 2% penetration of the global VC market, this represents $48M in ARR.</w:t>
      </w:r>
    </w:p>
    <w:p>
      <w:pPr>
        <w:pStyle w:val="Heading3"/>
        <w:spacing w:before="240" w:after="100"/>
      </w:pPr>
      <w:r>
        <w:rPr>
          <w:rFonts w:ascii="Arial" w:cs="Arial" w:eastAsia="Arial" w:hAnsi="Arial"/>
          <w:b/>
          <w:bCs/>
          <w:color w:val="1A4A8A"/>
          <w:sz w:val="24"/>
          <w:szCs w:val="24"/>
        </w:rPr>
        <w:t xml:space="preserve">The India Opportunity</w:t>
      </w:r>
    </w:p>
    <w:p>
      <w:pPr>
        <w:spacing w:before="80" w:after="120"/>
        <w:jc w:val="both"/>
      </w:pPr>
      <w:r>
        <w:rPr>
          <w:rFonts w:ascii="Arial" w:cs="Arial" w:eastAsia="Arial" w:hAnsi="Arial"/>
          <w:color w:val="1E1E2E"/>
          <w:sz w:val="22"/>
          <w:szCs w:val="22"/>
        </w:rPr>
        <w:t xml:space="preserve">India is experiencing the fastest growth in new fund formation of any market globally. Between 2020 and 2024, the number of active VC firms operating in India grew by over 180%. Indian VCs deployed $8.4B in 2023 despite a global VC downturn. The IIT/IIM alumni network — concentrated in Mumbai, Bangalore, Delhi, and increasingly distributed globally — represents one of the highest-density, highest-trust professional networks in the world for early technology adoption.</w:t>
      </w:r>
    </w:p>
    <w:p>
      <w:pPr>
        <w:spacing w:before="80" w:after="120"/>
        <w:jc w:val="both"/>
      </w:pPr>
      <w:r>
        <w:rPr>
          <w:rFonts w:ascii="Arial" w:cs="Arial" w:eastAsia="Arial" w:hAnsi="Arial"/>
          <w:color w:val="1E1E2E"/>
          <w:sz w:val="22"/>
          <w:szCs w:val="22"/>
        </w:rPr>
        <w:t xml:space="preserve">Robin.ai's founding team's positioning within this network is a structural competitive advantage that cannot be purchased or replicated through marketing spend alone.</w:t>
      </w:r>
    </w:p>
    <w:p>
      <w:pPr>
        <w:pStyle w:val="Heading2"/>
        <w:spacing w:before="320" w:after="120"/>
      </w:pPr>
      <w:r>
        <w:rPr>
          <w:rFonts w:ascii="Arial" w:cs="Arial" w:eastAsia="Arial" w:hAnsi="Arial"/>
          <w:b/>
          <w:bCs/>
          <w:color w:val="1E1E2E"/>
          <w:sz w:val="28"/>
          <w:szCs w:val="28"/>
        </w:rPr>
        <w:t xml:space="preserve">4.3  Phase 2: The Fortune 500 Executive Suite</w:t>
      </w:r>
    </w:p>
    <w:p>
      <w:pPr>
        <w:spacing w:before="80" w:after="120"/>
        <w:jc w:val="both"/>
      </w:pPr>
      <w:r>
        <w:rPr>
          <w:rFonts w:ascii="Arial" w:cs="Arial" w:eastAsia="Arial" w:hAnsi="Arial"/>
          <w:color w:val="1E1E2E"/>
          <w:sz w:val="22"/>
          <w:szCs w:val="22"/>
        </w:rPr>
        <w:t xml:space="preserve">The Chief of Staff function in large enterprises exists almost entirely to manage information flow and reduce the cognitive load on C-suite principals. A Chief of Staff reads briefings, attends meetings, synthesizes intelligence, flags inconsistencies, and manages follow-up. This is, essentially, a human version of the core Robin.ai function.</w:t>
      </w:r>
    </w:p>
    <w:p>
      <w:pPr>
        <w:spacing w:before="80" w:after="120"/>
        <w:jc w:val="both"/>
      </w:pPr>
      <w:r>
        <w:rPr>
          <w:rFonts w:ascii="Arial" w:cs="Arial" w:eastAsia="Arial" w:hAnsi="Arial"/>
          <w:color w:val="1E1E2E"/>
          <w:sz w:val="22"/>
          <w:szCs w:val="22"/>
        </w:rPr>
        <w:t xml:space="preserve">The average cost of a high-quality Chief of Staff in a Fortune 500 context is $150,000–$250,000 in total compensation. At $250–$350/month, Robin.ai delivers a meaningful fraction of this value at approximately 1% of the cost. The positioning is not 'replace your Chief of Staff' but rather 'give your Chief of Staff a cognitive co-pilot' — reducing resistance while dramatically expanding the value delivered per dollar spent.</w:t>
      </w:r>
    </w:p>
    <w:p>
      <w:pPr>
        <w:spacing w:before="80" w:after="120"/>
        <w:jc w:val="both"/>
      </w:pPr>
      <w:r>
        <w:rPr>
          <w:rFonts w:ascii="Arial" w:cs="Arial" w:eastAsia="Arial" w:hAnsi="Arial"/>
          <w:color w:val="1E1E2E"/>
          <w:sz w:val="22"/>
          <w:szCs w:val="22"/>
        </w:rPr>
        <w:t xml:space="preserve">The Fortune 500 market also introduces the enterprise sales motion, which requires a different GTM approach but unlocks significantly larger contract values ($50K–$250K ACV for enterprise-wide deployments).</w:t>
      </w:r>
    </w:p>
    <w:p>
      <w:pPr>
        <w:pStyle w:val="Heading2"/>
        <w:spacing w:before="320" w:after="120"/>
      </w:pPr>
      <w:r>
        <w:rPr>
          <w:rFonts w:ascii="Arial" w:cs="Arial" w:eastAsia="Arial" w:hAnsi="Arial"/>
          <w:b/>
          <w:bCs/>
          <w:color w:val="1E1E2E"/>
          <w:sz w:val="28"/>
          <w:szCs w:val="28"/>
        </w:rPr>
        <w:t xml:space="preserve">4.4  Phase 3: High-Performance Specialists</w:t>
      </w:r>
    </w:p>
    <w:p>
      <w:pPr>
        <w:spacing w:before="80" w:after="120"/>
        <w:jc w:val="both"/>
      </w:pPr>
      <w:r>
        <w:rPr>
          <w:rFonts w:ascii="Arial" w:cs="Arial" w:eastAsia="Arial" w:hAnsi="Arial"/>
          <w:color w:val="1E1E2E"/>
          <w:sz w:val="22"/>
          <w:szCs w:val="22"/>
        </w:rPr>
        <w:t xml:space="preserve">The third market horizon encompasses any professional context in which high-stakes decisions are made under time pressure based on information delivered by a counterpart with asymmetric information. This includes:</w:t>
      </w:r>
    </w:p>
    <w:p>
      <w:pPr>
        <w:pStyle w:val="ListParagraph"/>
        <w:numPr>
          <w:ilvl w:val="0"/>
          <w:numId w:val="2"/>
        </w:numPr>
        <w:spacing w:before="60" w:after="60"/>
      </w:pPr>
      <w:r>
        <w:rPr>
          <w:rFonts w:ascii="Arial" w:cs="Arial" w:eastAsia="Arial" w:hAnsi="Arial"/>
          <w:b/>
          <w:bCs/>
          <w:color w:val="0F2D59"/>
          <w:sz w:val="22"/>
          <w:szCs w:val="22"/>
        </w:rPr>
        <w:t xml:space="preserve">Surgical and Medical Specialists: </w:t>
      </w:r>
      <w:r>
        <w:rPr>
          <w:rFonts w:ascii="Arial" w:cs="Arial" w:eastAsia="Arial" w:hAnsi="Arial"/>
          <w:color w:val="1E1E2E"/>
          <w:sz w:val="22"/>
          <w:szCs w:val="22"/>
        </w:rPr>
        <w:t xml:space="preserve">Surgeons conducting pre-operative consultations, oncologists reviewing treatment options with patients, and diagnostic specialists interpreting referral briefs — all operate in environments where the 'pitch' (patient history, referring physician notes) must be critically evaluated for accuracy, omission, and consistency.</w:t>
      </w:r>
    </w:p>
    <w:p>
      <w:pPr>
        <w:pStyle w:val="ListParagraph"/>
        <w:numPr>
          <w:ilvl w:val="0"/>
          <w:numId w:val="2"/>
        </w:numPr>
        <w:spacing w:before="60" w:after="60"/>
      </w:pPr>
      <w:r>
        <w:rPr>
          <w:rFonts w:ascii="Arial" w:cs="Arial" w:eastAsia="Arial" w:hAnsi="Arial"/>
          <w:b/>
          <w:bCs/>
          <w:color w:val="0F2D59"/>
          <w:sz w:val="22"/>
          <w:szCs w:val="22"/>
        </w:rPr>
        <w:t xml:space="preserve">M&amp;A and Transaction Lawyers: </w:t>
      </w:r>
      <w:r>
        <w:rPr>
          <w:rFonts w:ascii="Arial" w:cs="Arial" w:eastAsia="Arial" w:hAnsi="Arial"/>
          <w:color w:val="1E1E2E"/>
          <w:sz w:val="22"/>
          <w:szCs w:val="22"/>
        </w:rPr>
        <w:t xml:space="preserve">Deal counsel managing complex multi-party transactions must track claim consistency across dozens of representations across months of negotiation. The Conflict Reporter's core functionality is directly applicable to representations and warranties analysis.</w:t>
      </w:r>
    </w:p>
    <w:p>
      <w:pPr>
        <w:pStyle w:val="ListParagraph"/>
        <w:numPr>
          <w:ilvl w:val="0"/>
          <w:numId w:val="2"/>
        </w:numPr>
        <w:spacing w:before="60" w:after="60"/>
      </w:pPr>
      <w:r>
        <w:rPr>
          <w:rFonts w:ascii="Arial" w:cs="Arial" w:eastAsia="Arial" w:hAnsi="Arial"/>
          <w:b/>
          <w:bCs/>
          <w:color w:val="0F2D59"/>
          <w:sz w:val="22"/>
          <w:szCs w:val="22"/>
        </w:rPr>
        <w:t xml:space="preserve">Government and Policy Officials: </w:t>
      </w:r>
      <w:r>
        <w:rPr>
          <w:rFonts w:ascii="Arial" w:cs="Arial" w:eastAsia="Arial" w:hAnsi="Arial"/>
          <w:color w:val="1E1E2E"/>
          <w:sz w:val="22"/>
          <w:szCs w:val="22"/>
        </w:rPr>
        <w:t xml:space="preserve">Senior officials at intelligence agencies, regulatory bodies, and legislative offices regularly receive briefings that must be evaluated for accuracy, completeness, and internal consistency. The Pedigree Intelligence layer is particularly valuable in adversarial intelligence contexts.</w:t>
      </w:r>
    </w:p>
    <w:p>
      <w:r>
        <w:br w:type="page"/>
      </w:r>
    </w:p>
    <w:p>
      <w:pPr>
        <w:spacing w:before="200" w:after="80"/>
      </w:pPr>
      <w:r>
        <w:rPr>
          <w:rFonts w:ascii="Arial" w:cs="Arial" w:eastAsia="Arial" w:hAnsi="Arial"/>
          <w:b/>
          <w:bCs/>
          <w:color w:val="E8501A"/>
          <w:spacing w:val="60"/>
          <w:sz w:val="18"/>
          <w:szCs w:val="18"/>
        </w:rPr>
        <w:t xml:space="preserve">PART V</w:t>
      </w:r>
    </w:p>
    <w:p>
      <w:pPr>
        <w:pStyle w:val="Heading1"/>
        <w:pBdr>
          <w:bottom w:val="single" w:color="E8501A" w:sz="4" w:space="4"/>
        </w:pBdr>
        <w:spacing w:before="400" w:after="160"/>
      </w:pPr>
      <w:r>
        <w:rPr>
          <w:rFonts w:ascii="Arial" w:cs="Arial" w:eastAsia="Arial" w:hAnsi="Arial"/>
          <w:b/>
          <w:bCs/>
          <w:color w:val="0F2D59"/>
          <w:sz w:val="36"/>
          <w:szCs w:val="36"/>
        </w:rPr>
        <w:t xml:space="preserve">Competitive Landscape &amp; Positioning</w:t>
      </w:r>
    </w:p>
    <w:p>
      <w:pPr>
        <w:spacing w:before="120" w:after="160"/>
        <w:jc w:val="both"/>
      </w:pPr>
      <w:r>
        <w:rPr>
          <w:rFonts w:ascii="Arial" w:cs="Arial" w:eastAsia="Arial" w:hAnsi="Arial"/>
          <w:i/>
          <w:iCs/>
          <w:color w:val="1E1E2E"/>
          <w:sz w:val="24"/>
          <w:szCs w:val="24"/>
        </w:rPr>
        <w:t xml:space="preserve">The competitive landscape for Robin.ai is best understood not as a set of direct competitors, but as a set of partial solutions that together define the problem space Robin.ai fully addresses. No single existing product occupies the 'Skeptical Analyst' position.</w:t>
      </w:r>
    </w:p>
    <w:p>
      <w:pPr>
        <w:pStyle w:val="Heading2"/>
        <w:spacing w:before="320" w:after="120"/>
      </w:pPr>
      <w:r>
        <w:rPr>
          <w:rFonts w:ascii="Arial" w:cs="Arial" w:eastAsia="Arial" w:hAnsi="Arial"/>
          <w:b/>
          <w:bCs/>
          <w:color w:val="1E1E2E"/>
          <w:sz w:val="28"/>
          <w:szCs w:val="28"/>
        </w:rPr>
        <w:t xml:space="preserve">5.1  The Competitive Map</w:t>
      </w:r>
    </w:p>
    <w:p>
      <w:pPr>
        <w:spacing w:before="80" w:after="120"/>
        <w:jc w:val="both"/>
      </w:pPr>
      <w:r>
        <w:rPr>
          <w:rFonts w:ascii="Arial" w:cs="Arial" w:eastAsia="Arial" w:hAnsi="Arial"/>
          <w:color w:val="1E1E2E"/>
          <w:sz w:val="22"/>
          <w:szCs w:val="22"/>
        </w:rPr>
        <w:t xml:space="preserve">We organize the competitive landscape across two axes: the degree of passive vs. active intelligence (horizontal), and the scope of the analysis — single-source vs. multi-stream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60"/>
        <w:gridCol w:w="2900"/>
      </w:tblGrid>
      <w:tr>
        <w:tc>
          <w:tcPr>
            <w:tcW w:type="dxa" w:w="17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Category</w:t>
            </w:r>
          </w:p>
        </w:tc>
        <w:tc>
          <w:tcPr>
            <w:tcW w:type="dxa" w:w="22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Key Players</w:t>
            </w:r>
          </w:p>
        </w:tc>
        <w:tc>
          <w:tcPr>
            <w:tcW w:type="dxa" w:w="256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Core Function</w:t>
            </w:r>
          </w:p>
        </w:tc>
        <w:tc>
          <w:tcPr>
            <w:tcW w:type="dxa" w:w="29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Robin.ai Differentiation</w:t>
            </w:r>
          </w:p>
        </w:tc>
      </w:tr>
      <w:tr>
        <w:tc>
          <w:tcPr>
            <w:tcW w:type="dxa" w:w="17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Meeting Intelligence (Passive)</w:t>
            </w:r>
          </w:p>
        </w:tc>
        <w:tc>
          <w:tcPr>
            <w:tcW w:type="dxa" w:w="2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Granola, Otter.ai, Fireflies, Fathom</w:t>
            </w:r>
          </w:p>
        </w:tc>
        <w:tc>
          <w:tcPr>
            <w:tcW w:type="dxa" w:w="2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Transcription, summarization, action items</w:t>
            </w:r>
          </w:p>
        </w:tc>
        <w:tc>
          <w:tcPr>
            <w:tcW w:type="dxa" w:w="29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We analyze what they transcribe; they are our data inputs, not our competitors</w:t>
            </w:r>
          </w:p>
        </w:tc>
      </w:tr>
      <w:tr>
        <w:tc>
          <w:tcPr>
            <w:tcW w:type="dxa" w:w="17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Voice Productivity</w:t>
            </w:r>
          </w:p>
        </w:tc>
        <w:tc>
          <w:tcPr>
            <w:tcW w:type="dxa" w:w="2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Wispr Flow, Superhuman Voice</w:t>
            </w:r>
          </w:p>
        </w:tc>
        <w:tc>
          <w:tcPr>
            <w:tcW w:type="dxa" w:w="2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Voice-to-text dictation for notes and email</w:t>
            </w:r>
          </w:p>
        </w:tc>
        <w:tc>
          <w:tcPr>
            <w:tcW w:type="dxa" w:w="29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We treat their output as one of our key intelligence streams</w:t>
            </w:r>
          </w:p>
        </w:tc>
      </w:tr>
      <w:tr>
        <w:tc>
          <w:tcPr>
            <w:tcW w:type="dxa" w:w="17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Investor CRM</w:t>
            </w:r>
          </w:p>
        </w:tc>
        <w:tc>
          <w:tcPr>
            <w:tcW w:type="dxa" w:w="2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Affinity, DealCloud, Attio</w:t>
            </w:r>
          </w:p>
        </w:tc>
        <w:tc>
          <w:tcPr>
            <w:tcW w:type="dxa" w:w="2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Relationship management, deal pipeline tracking</w:t>
            </w:r>
          </w:p>
        </w:tc>
        <w:tc>
          <w:tcPr>
            <w:tcW w:type="dxa" w:w="29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No diligence intelligence; Robin adds the analytical layer on top of CRM workflows</w:t>
            </w:r>
          </w:p>
        </w:tc>
      </w:tr>
      <w:tr>
        <w:tc>
          <w:tcPr>
            <w:tcW w:type="dxa" w:w="17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Diligence &amp; Research</w:t>
            </w:r>
          </w:p>
        </w:tc>
        <w:tc>
          <w:tcPr>
            <w:tcW w:type="dxa" w:w="2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Grata, Harmonic, Mattermark</w:t>
            </w:r>
          </w:p>
        </w:tc>
        <w:tc>
          <w:tcPr>
            <w:tcW w:type="dxa" w:w="2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Company data aggregation and sourcing signal</w:t>
            </w:r>
          </w:p>
        </w:tc>
        <w:tc>
          <w:tcPr>
            <w:tcW w:type="dxa" w:w="29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External data only; Robin analyzes the human conversation layer they cannot reach</w:t>
            </w:r>
          </w:p>
        </w:tc>
      </w:tr>
      <w:tr>
        <w:tc>
          <w:tcPr>
            <w:tcW w:type="dxa" w:w="17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AI Research Assistants</w:t>
            </w:r>
          </w:p>
        </w:tc>
        <w:tc>
          <w:tcPr>
            <w:tcW w:type="dxa" w:w="22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Perplexity, ChatGPT, Claude</w:t>
            </w:r>
          </w:p>
        </w:tc>
        <w:tc>
          <w:tcPr>
            <w:tcW w:type="dxa" w:w="2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General-purpose Q&amp;A and research synthesis</w:t>
            </w:r>
          </w:p>
        </w:tc>
        <w:tc>
          <w:tcPr>
            <w:tcW w:type="dxa" w:w="29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Not anchored to private user transcripts; no conflict detection; no GRUE framework</w:t>
            </w:r>
          </w:p>
        </w:tc>
      </w:tr>
      <w:tr>
        <w:tc>
          <w:tcPr>
            <w:tcW w:type="dxa" w:w="17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Note-Taking &amp; PKM</w:t>
            </w:r>
          </w:p>
        </w:tc>
        <w:tc>
          <w:tcPr>
            <w:tcW w:type="dxa" w:w="22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Notion AI, Obsidian, Mem.ai</w:t>
            </w:r>
          </w:p>
        </w:tc>
        <w:tc>
          <w:tcPr>
            <w:tcW w:type="dxa" w:w="2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Personal knowledge management and ideation</w:t>
            </w:r>
          </w:p>
        </w:tc>
        <w:tc>
          <w:tcPr>
            <w:tcW w:type="dxa" w:w="29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Document management, not decision intelligence; no diligence framework</w:t>
            </w:r>
          </w:p>
        </w:tc>
      </w:tr>
    </w:tbl>
    <w:p>
      <w:pPr>
        <w:spacing w:before="120" w:after="120"/>
      </w:pPr>
      <w:r>
        <w:t xml:space="preserve"/>
      </w:r>
    </w:p>
    <w:p>
      <w:pPr>
        <w:pStyle w:val="Heading2"/>
        <w:spacing w:before="320" w:after="120"/>
      </w:pPr>
      <w:r>
        <w:rPr>
          <w:rFonts w:ascii="Arial" w:cs="Arial" w:eastAsia="Arial" w:hAnsi="Arial"/>
          <w:b/>
          <w:bCs/>
          <w:color w:val="1E1E2E"/>
          <w:sz w:val="28"/>
          <w:szCs w:val="28"/>
        </w:rPr>
        <w:t xml:space="preserve">5.2  Why This Category Has Not Been Built Before</w:t>
      </w:r>
    </w:p>
    <w:p>
      <w:pPr>
        <w:spacing w:before="80" w:after="120"/>
        <w:jc w:val="both"/>
      </w:pPr>
      <w:r>
        <w:rPr>
          <w:rFonts w:ascii="Arial" w:cs="Arial" w:eastAsia="Arial" w:hAnsi="Arial"/>
          <w:color w:val="1E1E2E"/>
          <w:sz w:val="22"/>
          <w:szCs w:val="22"/>
        </w:rPr>
        <w:t xml:space="preserve">The obvious question is: why has no one built this? Three structural conditions explain the historical absence of this category and why it is now buildable:</w:t>
      </w:r>
    </w:p>
    <w:p>
      <w:pPr>
        <w:pStyle w:val="Heading3"/>
        <w:spacing w:before="240" w:after="100"/>
      </w:pPr>
      <w:r>
        <w:rPr>
          <w:rFonts w:ascii="Arial" w:cs="Arial" w:eastAsia="Arial" w:hAnsi="Arial"/>
          <w:b/>
          <w:bCs/>
          <w:color w:val="1A4A8A"/>
          <w:sz w:val="24"/>
          <w:szCs w:val="24"/>
        </w:rPr>
        <w:t xml:space="preserve">Condition 1: LLM Capability Threshold</w:t>
      </w:r>
    </w:p>
    <w:p>
      <w:pPr>
        <w:spacing w:before="80" w:after="120"/>
        <w:jc w:val="both"/>
      </w:pPr>
      <w:r>
        <w:rPr>
          <w:rFonts w:ascii="Arial" w:cs="Arial" w:eastAsia="Arial" w:hAnsi="Arial"/>
          <w:color w:val="1E1E2E"/>
          <w:sz w:val="22"/>
          <w:szCs w:val="22"/>
        </w:rPr>
        <w:t xml:space="preserve">The semantic evidence extraction and cross-stream conflict detection that Robin.ai performs required LLM capabilities that simply did not exist at commercial scale before GPT-4 and its contemporaries in 2023. Earlier NLP approaches could perform keyword extraction and basic sentiment analysis but could not perform the nuanced semantic alignment across streams that the Conflict Reporter requires.</w:t>
      </w:r>
    </w:p>
    <w:p>
      <w:pPr>
        <w:pStyle w:val="Heading3"/>
        <w:spacing w:before="240" w:after="100"/>
      </w:pPr>
      <w:r>
        <w:rPr>
          <w:rFonts w:ascii="Arial" w:cs="Arial" w:eastAsia="Arial" w:hAnsi="Arial"/>
          <w:b/>
          <w:bCs/>
          <w:color w:val="1A4A8A"/>
          <w:sz w:val="24"/>
          <w:szCs w:val="24"/>
        </w:rPr>
        <w:t xml:space="preserve">Condition 2: The Data Source Ecosystem</w:t>
      </w:r>
    </w:p>
    <w:p>
      <w:pPr>
        <w:spacing w:before="80" w:after="120"/>
        <w:jc w:val="both"/>
      </w:pPr>
      <w:r>
        <w:rPr>
          <w:rFonts w:ascii="Arial" w:cs="Arial" w:eastAsia="Arial" w:hAnsi="Arial"/>
          <w:color w:val="1E1E2E"/>
          <w:sz w:val="22"/>
          <w:szCs w:val="22"/>
        </w:rPr>
        <w:t xml:space="preserve">Robin.ai's value depends on the existence of rich, structured meeting transcript data and voice dictation data. Tools like Granola and Wispr Flow only reached meaningful adoption in 2022–2023. Without these data sources in the workflow, there is no raw material for Robin's intelligence layers to process.</w:t>
      </w:r>
    </w:p>
    <w:p>
      <w:pPr>
        <w:pStyle w:val="Heading3"/>
        <w:spacing w:before="240" w:after="100"/>
      </w:pPr>
      <w:r>
        <w:rPr>
          <w:rFonts w:ascii="Arial" w:cs="Arial" w:eastAsia="Arial" w:hAnsi="Arial"/>
          <w:b/>
          <w:bCs/>
          <w:color w:val="1A4A8A"/>
          <w:sz w:val="24"/>
          <w:szCs w:val="24"/>
        </w:rPr>
        <w:t xml:space="preserve">Condition 3: The BYOK Infrastructure</w:t>
      </w:r>
    </w:p>
    <w:p>
      <w:pPr>
        <w:spacing w:before="80" w:after="120"/>
        <w:jc w:val="both"/>
      </w:pPr>
      <w:r>
        <w:rPr>
          <w:rFonts w:ascii="Arial" w:cs="Arial" w:eastAsia="Arial" w:hAnsi="Arial"/>
          <w:color w:val="1E1E2E"/>
          <w:sz w:val="22"/>
          <w:szCs w:val="22"/>
        </w:rPr>
        <w:t xml:space="preserve">The privacy concerns that have historically blocked AI adoption in high-stakes investment contexts are only now addressable through the BYOK architecture enabled by direct API access to major LLM providers. Without the ability to guarantee data sovereignty, no VC would allow an external tool to process their deal pipeline.</w:t>
      </w:r>
    </w:p>
    <w:p>
      <w:pPr>
        <w:pStyle w:val="Heading2"/>
        <w:spacing w:before="320" w:after="120"/>
      </w:pPr>
      <w:r>
        <w:rPr>
          <w:rFonts w:ascii="Arial" w:cs="Arial" w:eastAsia="Arial" w:hAnsi="Arial"/>
          <w:b/>
          <w:bCs/>
          <w:color w:val="1E1E2E"/>
          <w:sz w:val="28"/>
          <w:szCs w:val="28"/>
        </w:rPr>
        <w:t xml:space="preserve">5.3  The Defensibility Analysis</w:t>
      </w:r>
    </w:p>
    <w:p>
      <w:pPr>
        <w:spacing w:before="80" w:after="120"/>
        <w:jc w:val="both"/>
      </w:pPr>
      <w:r>
        <w:rPr>
          <w:rFonts w:ascii="Arial" w:cs="Arial" w:eastAsia="Arial" w:hAnsi="Arial"/>
          <w:color w:val="1E1E2E"/>
          <w:sz w:val="22"/>
          <w:szCs w:val="22"/>
        </w:rPr>
        <w:t xml:space="preserve">Robin.ai's moat is multi-layered and builds over time. We identify four distinct sources of defensibility:</w:t>
      </w:r>
    </w:p>
    <w:p>
      <w:pPr>
        <w:pStyle w:val="ListParagraph"/>
        <w:numPr>
          <w:ilvl w:val="0"/>
          <w:numId w:val="2"/>
        </w:numPr>
        <w:spacing w:before="60" w:after="60"/>
      </w:pPr>
      <w:r>
        <w:rPr>
          <w:rFonts w:ascii="Arial" w:cs="Arial" w:eastAsia="Arial" w:hAnsi="Arial"/>
          <w:b/>
          <w:bCs/>
          <w:color w:val="0F2D59"/>
          <w:sz w:val="22"/>
          <w:szCs w:val="22"/>
        </w:rPr>
        <w:t xml:space="preserve">Framework IP: </w:t>
      </w:r>
      <w:r>
        <w:rPr>
          <w:rFonts w:ascii="Arial" w:cs="Arial" w:eastAsia="Arial" w:hAnsi="Arial"/>
          <w:color w:val="1E1E2E"/>
          <w:sz w:val="22"/>
          <w:szCs w:val="22"/>
        </w:rPr>
        <w:t xml:space="preserve">The GRUE framework, the Skeptical Principal Architecture, and the claim-anchoring methodology represent proprietary analytical approaches that can be codified and defended as trade secrets. They are the 'recipe', not just the 'kitchen'.</w:t>
      </w:r>
    </w:p>
    <w:p>
      <w:pPr>
        <w:pStyle w:val="ListParagraph"/>
        <w:numPr>
          <w:ilvl w:val="0"/>
          <w:numId w:val="2"/>
        </w:numPr>
        <w:spacing w:before="60" w:after="60"/>
      </w:pPr>
      <w:r>
        <w:rPr>
          <w:rFonts w:ascii="Arial" w:cs="Arial" w:eastAsia="Arial" w:hAnsi="Arial"/>
          <w:b/>
          <w:bCs/>
          <w:color w:val="0F2D59"/>
          <w:sz w:val="22"/>
          <w:szCs w:val="22"/>
        </w:rPr>
        <w:t xml:space="preserve">Network Intelligence: </w:t>
      </w:r>
      <w:r>
        <w:rPr>
          <w:rFonts w:ascii="Arial" w:cs="Arial" w:eastAsia="Arial" w:hAnsi="Arial"/>
          <w:color w:val="1E1E2E"/>
          <w:sz w:val="22"/>
          <w:szCs w:val="22"/>
        </w:rPr>
        <w:t xml:space="preserve">The Pedigree Intelligence layer creates compounding value — each new user adds intelligence about recurring individuals across the network. This data network effect cannot be replicated by a new entrant without the user base.</w:t>
      </w:r>
    </w:p>
    <w:p>
      <w:pPr>
        <w:pStyle w:val="ListParagraph"/>
        <w:numPr>
          <w:ilvl w:val="0"/>
          <w:numId w:val="2"/>
        </w:numPr>
        <w:spacing w:before="60" w:after="60"/>
      </w:pPr>
      <w:r>
        <w:rPr>
          <w:rFonts w:ascii="Arial" w:cs="Arial" w:eastAsia="Arial" w:hAnsi="Arial"/>
          <w:b/>
          <w:bCs/>
          <w:color w:val="0F2D59"/>
          <w:sz w:val="22"/>
          <w:szCs w:val="22"/>
        </w:rPr>
        <w:t xml:space="preserve">Workflow Integration Depth: </w:t>
      </w:r>
      <w:r>
        <w:rPr>
          <w:rFonts w:ascii="Arial" w:cs="Arial" w:eastAsia="Arial" w:hAnsi="Arial"/>
          <w:color w:val="1E1E2E"/>
          <w:sz w:val="22"/>
          <w:szCs w:val="22"/>
        </w:rPr>
        <w:t xml:space="preserve">Deep integrations with Granola, Wispr, and calendar infrastructure create switching costs that increase with tenure. A user who has 24 months of Robin-analyzed deal data in their history has a personalized intelligence asset that they cannot transfer to a competitor.</w:t>
      </w:r>
    </w:p>
    <w:p>
      <w:pPr>
        <w:pStyle w:val="ListParagraph"/>
        <w:numPr>
          <w:ilvl w:val="0"/>
          <w:numId w:val="2"/>
        </w:numPr>
        <w:spacing w:before="60" w:after="60"/>
      </w:pPr>
      <w:r>
        <w:rPr>
          <w:rFonts w:ascii="Arial" w:cs="Arial" w:eastAsia="Arial" w:hAnsi="Arial"/>
          <w:b/>
          <w:bCs/>
          <w:color w:val="0F2D59"/>
          <w:sz w:val="22"/>
          <w:szCs w:val="22"/>
        </w:rPr>
        <w:t xml:space="preserve">Category Ownership: </w:t>
      </w:r>
      <w:r>
        <w:rPr>
          <w:rFonts w:ascii="Arial" w:cs="Arial" w:eastAsia="Arial" w:hAnsi="Arial"/>
          <w:color w:val="1E1E2E"/>
          <w:sz w:val="22"/>
          <w:szCs w:val="22"/>
        </w:rPr>
        <w:t xml:space="preserve">By defining and owning the vocabulary — 'Cognitive Firewall', 'Evidence Logs', 'Blind Spot Detection', 'Conviction Gap' — Robin.ai builds a linguistic moat. Users who internalize this vocabulary become advocates who evangelize the category in their network.</w:t>
      </w:r>
    </w:p>
    <w:p>
      <w:r>
        <w:br w:type="page"/>
      </w:r>
    </w:p>
    <w:p>
      <w:pPr>
        <w:spacing w:before="200" w:after="80"/>
      </w:pPr>
      <w:r>
        <w:rPr>
          <w:rFonts w:ascii="Arial" w:cs="Arial" w:eastAsia="Arial" w:hAnsi="Arial"/>
          <w:b/>
          <w:bCs/>
          <w:color w:val="E8501A"/>
          <w:spacing w:val="60"/>
          <w:sz w:val="18"/>
          <w:szCs w:val="18"/>
        </w:rPr>
        <w:t xml:space="preserve">PART VI</w:t>
      </w:r>
    </w:p>
    <w:p>
      <w:pPr>
        <w:pStyle w:val="Heading1"/>
        <w:pBdr>
          <w:bottom w:val="single" w:color="E8501A" w:sz="4" w:space="4"/>
        </w:pBdr>
        <w:spacing w:before="400" w:after="160"/>
      </w:pPr>
      <w:r>
        <w:rPr>
          <w:rFonts w:ascii="Arial" w:cs="Arial" w:eastAsia="Arial" w:hAnsi="Arial"/>
          <w:b/>
          <w:bCs/>
          <w:color w:val="0F2D59"/>
          <w:sz w:val="36"/>
          <w:szCs w:val="36"/>
        </w:rPr>
        <w:t xml:space="preserve">Go-To-Market Strategy: Blitzscaling Conviction</w:t>
      </w:r>
    </w:p>
    <w:p>
      <w:pPr>
        <w:spacing w:before="120" w:after="160"/>
        <w:jc w:val="both"/>
      </w:pPr>
      <w:r>
        <w:rPr>
          <w:rFonts w:ascii="Arial" w:cs="Arial" w:eastAsia="Arial" w:hAnsi="Arial"/>
          <w:i/>
          <w:iCs/>
          <w:color w:val="1E1E2E"/>
          <w:sz w:val="24"/>
          <w:szCs w:val="24"/>
        </w:rPr>
        <w:t xml:space="preserve">Robin.ai's GTM is designed around a single insight: the highest-value customers in our target market are not distributed across a broad geography — they are concentrated in tight, high-trust networks where the cost of reaching the right person is low and the viral coefficient is high.</w:t>
      </w:r>
    </w:p>
    <w:p>
      <w:pPr>
        <w:pStyle w:val="Heading2"/>
        <w:spacing w:before="320" w:after="120"/>
      </w:pPr>
      <w:r>
        <w:rPr>
          <w:rFonts w:ascii="Arial" w:cs="Arial" w:eastAsia="Arial" w:hAnsi="Arial"/>
          <w:b/>
          <w:bCs/>
          <w:color w:val="1E1E2E"/>
          <w:sz w:val="28"/>
          <w:szCs w:val="28"/>
        </w:rPr>
        <w:t xml:space="preserve">6.1  The Network Infiltration Model</w:t>
      </w:r>
    </w:p>
    <w:p>
      <w:pPr>
        <w:spacing w:before="80" w:after="120"/>
        <w:jc w:val="both"/>
      </w:pPr>
      <w:r>
        <w:rPr>
          <w:rFonts w:ascii="Arial" w:cs="Arial" w:eastAsia="Arial" w:hAnsi="Arial"/>
          <w:color w:val="1E1E2E"/>
          <w:sz w:val="22"/>
          <w:szCs w:val="22"/>
        </w:rPr>
        <w:t xml:space="preserve">Traditional SaaS GTM relies on advertising, outbound sales, and content marketing to create awareness across a broad addressable market. These approaches are appropriate for mass-market tools. Robin.ai is not a mass-market tool. We are targeting a population of approximately 80,000 people globally in our first phase — a population that knows each other, trusts each other's recommendations, and is extremely resistant to cold outbound.</w:t>
      </w:r>
    </w:p>
    <w:p>
      <w:pPr>
        <w:spacing w:before="80" w:after="120"/>
        <w:jc w:val="both"/>
      </w:pPr>
      <w:r>
        <w:rPr>
          <w:rFonts w:ascii="Arial" w:cs="Arial" w:eastAsia="Arial" w:hAnsi="Arial"/>
          <w:color w:val="1E1E2E"/>
          <w:sz w:val="22"/>
          <w:szCs w:val="22"/>
        </w:rPr>
        <w:t xml:space="preserve">The Robin.ai GTM playbook is built on three infiltration vectors:</w:t>
      </w:r>
    </w:p>
    <w:p>
      <w:pPr>
        <w:pStyle w:val="Heading3"/>
        <w:spacing w:before="240" w:after="100"/>
      </w:pPr>
      <w:r>
        <w:rPr>
          <w:rFonts w:ascii="Arial" w:cs="Arial" w:eastAsia="Arial" w:hAnsi="Arial"/>
          <w:b/>
          <w:bCs/>
          <w:color w:val="1A4A8A"/>
          <w:sz w:val="24"/>
          <w:szCs w:val="24"/>
        </w:rPr>
        <w:t xml:space="preserve">Vector 1: The Anchor Network (IIT/IIM/Stanford Mafia)</w:t>
      </w:r>
    </w:p>
    <w:p>
      <w:pPr>
        <w:spacing w:before="80" w:after="120"/>
        <w:jc w:val="both"/>
      </w:pPr>
      <w:r>
        <w:rPr>
          <w:rFonts w:ascii="Arial" w:cs="Arial" w:eastAsia="Arial" w:hAnsi="Arial"/>
          <w:color w:val="1E1E2E"/>
          <w:sz w:val="22"/>
          <w:szCs w:val="22"/>
        </w:rPr>
        <w:t xml:space="preserve">The founding team's positioning within the IIT/IIM alumni network provides immediate warm access to the first 500 users without a single dollar of paid acquisition. This network has specific structural characteristics that make it ideal for viral product adoption: high mutual trust, shared professional vocabulary, regular structured interaction (alumni events, WhatsApp groups, deal-sharing forums), and a culture of early technology adoption.</w:t>
      </w:r>
    </w:p>
    <w:p>
      <w:pPr>
        <w:spacing w:before="80" w:after="120"/>
        <w:jc w:val="both"/>
      </w:pPr>
      <w:r>
        <w:rPr>
          <w:rFonts w:ascii="Arial" w:cs="Arial" w:eastAsia="Arial" w:hAnsi="Arial"/>
          <w:color w:val="1E1E2E"/>
          <w:sz w:val="22"/>
          <w:szCs w:val="22"/>
        </w:rPr>
        <w:t xml:space="preserve">The strategy is to make the first 100 users extraordinarily successful, instrument that success with clear before-and-after conviction metrics, and let the social proof propagate through the network organically. The target is 100 → 500 → 2,000 users in the first 12 months through this channel alone.</w:t>
      </w:r>
    </w:p>
    <w:p>
      <w:pPr>
        <w:pStyle w:val="Heading3"/>
        <w:spacing w:before="240" w:after="100"/>
      </w:pPr>
      <w:r>
        <w:rPr>
          <w:rFonts w:ascii="Arial" w:cs="Arial" w:eastAsia="Arial" w:hAnsi="Arial"/>
          <w:b/>
          <w:bCs/>
          <w:color w:val="1A4A8A"/>
          <w:sz w:val="24"/>
          <w:szCs w:val="24"/>
        </w:rPr>
        <w:t xml:space="preserve">Vector 2: Content-Led Category Creation</w:t>
      </w:r>
    </w:p>
    <w:p>
      <w:pPr>
        <w:spacing w:before="80" w:after="120"/>
        <w:jc w:val="both"/>
      </w:pPr>
      <w:r>
        <w:rPr>
          <w:rFonts w:ascii="Arial" w:cs="Arial" w:eastAsia="Arial" w:hAnsi="Arial"/>
          <w:color w:val="1E1E2E"/>
          <w:sz w:val="22"/>
          <w:szCs w:val="22"/>
        </w:rPr>
        <w:t xml:space="preserve">We do not write about 'meeting intelligence' or 'AI productivity'. We write about the Conviction Gap. We publish research on the rate at which VC decisions fail due to insufficient diligence rigor. We create frameworks (GRUE, the Skeptical Principal) that become the vocabulary of the decision-making discourse.</w:t>
      </w:r>
    </w:p>
    <w:p>
      <w:pPr>
        <w:spacing w:before="80" w:after="120"/>
        <w:jc w:val="both"/>
      </w:pPr>
      <w:r>
        <w:rPr>
          <w:rFonts w:ascii="Arial" w:cs="Arial" w:eastAsia="Arial" w:hAnsi="Arial"/>
          <w:color w:val="1E1E2E"/>
          <w:sz w:val="22"/>
          <w:szCs w:val="22"/>
        </w:rPr>
        <w:t xml:space="preserve">The content strategy is designed to make Robin.ai synonymous with a concept, not just a product. When a partner at a top VC says 'we need to run this through the GRUE framework' in a Monday morning meeting, the product sells itself.</w:t>
      </w:r>
    </w:p>
    <w:p>
      <w:pPr>
        <w:pStyle w:val="Heading3"/>
        <w:spacing w:before="240" w:after="100"/>
      </w:pPr>
      <w:r>
        <w:rPr>
          <w:rFonts w:ascii="Arial" w:cs="Arial" w:eastAsia="Arial" w:hAnsi="Arial"/>
          <w:b/>
          <w:bCs/>
          <w:color w:val="1A4A8A"/>
          <w:sz w:val="24"/>
          <w:szCs w:val="24"/>
        </w:rPr>
        <w:t xml:space="preserve">Vector 3: Integration Partnership (Granola + Wispr)</w:t>
      </w:r>
    </w:p>
    <w:p>
      <w:pPr>
        <w:spacing w:before="80" w:after="120"/>
        <w:jc w:val="both"/>
      </w:pPr>
      <w:r>
        <w:rPr>
          <w:rFonts w:ascii="Arial" w:cs="Arial" w:eastAsia="Arial" w:hAnsi="Arial"/>
          <w:color w:val="1E1E2E"/>
          <w:sz w:val="22"/>
          <w:szCs w:val="22"/>
        </w:rPr>
        <w:t xml:space="preserve">Granola and Wispr are not competitors — they are Robin.ai's data pipeline. A formal integration partnership with both tools creates a seamless user experience where Robin.ai is activated automatically whenever a meeting is completed or a dictation is recorded. This reduces friction to zero and enables Robin.ai to reach the existing user bases of both tools as a 'smart add-on' rather than a net-new workflow adoption.</w:t>
      </w:r>
    </w:p>
    <w:p>
      <w:pPr>
        <w:spacing w:before="80" w:after="120"/>
        <w:jc w:val="both"/>
      </w:pPr>
      <w:r>
        <w:rPr>
          <w:rFonts w:ascii="Arial" w:cs="Arial" w:eastAsia="Arial" w:hAnsi="Arial"/>
          <w:color w:val="1E1E2E"/>
          <w:sz w:val="22"/>
          <w:szCs w:val="22"/>
        </w:rPr>
        <w:t xml:space="preserve">The target partnership structure is a revenue-share arrangement in which Granola and Wispr promote Robin.ai to their pro-tier users in exchange for a percentage of converted subscription revenue.</w:t>
      </w:r>
    </w:p>
    <w:p>
      <w:pPr>
        <w:pStyle w:val="Heading2"/>
        <w:spacing w:before="320" w:after="120"/>
      </w:pPr>
      <w:r>
        <w:rPr>
          <w:rFonts w:ascii="Arial" w:cs="Arial" w:eastAsia="Arial" w:hAnsi="Arial"/>
          <w:b/>
          <w:bCs/>
          <w:color w:val="1E1E2E"/>
          <w:sz w:val="28"/>
          <w:szCs w:val="28"/>
        </w:rPr>
        <w:t xml:space="preserve">6.2  Pricing Architecture</w:t>
      </w:r>
    </w:p>
    <w:p>
      <w:pPr>
        <w:spacing w:before="80" w:after="120"/>
        <w:jc w:val="both"/>
      </w:pPr>
      <w:r>
        <w:rPr>
          <w:rFonts w:ascii="Arial" w:cs="Arial" w:eastAsia="Arial" w:hAnsi="Arial"/>
          <w:color w:val="1E1E2E"/>
          <w:sz w:val="22"/>
          <w:szCs w:val="22"/>
        </w:rPr>
        <w:t xml:space="preserve">Robin.ai's pricing is designed to be adoption-friendly at the individual level while maximizing revenue at the institutional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40"/>
        <w:gridCol w:w="2520"/>
        <w:gridCol w:w="3900"/>
      </w:tblGrid>
      <w:tr>
        <w:tc>
          <w:tcPr>
            <w:tcW w:type="dxa" w:w="15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Plan</w:t>
            </w:r>
          </w:p>
        </w:tc>
        <w:tc>
          <w:tcPr>
            <w:tcW w:type="dxa" w:w="144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Price</w:t>
            </w:r>
          </w:p>
        </w:tc>
        <w:tc>
          <w:tcPr>
            <w:tcW w:type="dxa" w:w="252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Target User</w:t>
            </w:r>
          </w:p>
        </w:tc>
        <w:tc>
          <w:tcPr>
            <w:tcW w:type="dxa" w:w="39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Core Features</w:t>
            </w:r>
          </w:p>
        </w:tc>
      </w:tr>
      <w:tr>
        <w:tc>
          <w:tcPr>
            <w:tcW w:type="dxa" w:w="15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Solo Analyst</w:t>
            </w:r>
          </w:p>
        </w:tc>
        <w:tc>
          <w:tcPr>
            <w:tcW w:type="dxa" w:w="144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$199/month</w:t>
            </w:r>
          </w:p>
        </w:tc>
        <w:tc>
          <w:tcPr>
            <w:tcW w:type="dxa" w:w="252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Individual VC associates, solo investors</w:t>
            </w:r>
          </w:p>
        </w:tc>
        <w:tc>
          <w:tcPr>
            <w:tcW w:type="dxa" w:w="39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Full SPA analysis · BYOK · GRUE checklist · 100 analyses/month</w:t>
            </w:r>
          </w:p>
        </w:tc>
      </w:tr>
      <w:tr>
        <w:tc>
          <w:tcPr>
            <w:tcW w:type="dxa" w:w="15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Partner</w:t>
            </w:r>
          </w:p>
        </w:tc>
        <w:tc>
          <w:tcPr>
            <w:tcW w:type="dxa" w:w="144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$499/month</w:t>
            </w:r>
          </w:p>
        </w:tc>
        <w:tc>
          <w:tcPr>
            <w:tcW w:type="dxa" w:w="252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VC partners, senior executives</w:t>
            </w:r>
          </w:p>
        </w:tc>
        <w:tc>
          <w:tcPr>
            <w:tcW w:type="dxa" w:w="39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Everything in Solo · Pedigree Intelligence · Conflict Reporter · Unlimited analyses</w:t>
            </w:r>
          </w:p>
        </w:tc>
      </w:tr>
      <w:tr>
        <w:tc>
          <w:tcPr>
            <w:tcW w:type="dxa" w:w="15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Fund</w:t>
            </w:r>
          </w:p>
        </w:tc>
        <w:tc>
          <w:tcPr>
            <w:tcW w:type="dxa" w:w="144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$2,499/month</w:t>
            </w:r>
          </w:p>
        </w:tc>
        <w:tc>
          <w:tcPr>
            <w:tcW w:type="dxa" w:w="252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Fund-wide deployment (up to 10 seats)</w:t>
            </w:r>
          </w:p>
        </w:tc>
        <w:tc>
          <w:tcPr>
            <w:tcW w:type="dxa" w:w="39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Everything in Partner · Shared Evidence Vault · Cross-partner conflict alerts · Admin dashboard</w:t>
            </w:r>
          </w:p>
        </w:tc>
      </w:tr>
      <w:tr>
        <w:tc>
          <w:tcPr>
            <w:tcW w:type="dxa" w:w="15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Enterprise</w:t>
            </w:r>
          </w:p>
        </w:tc>
        <w:tc>
          <w:tcPr>
            <w:tcW w:type="dxa" w:w="144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Custom ($25K–$250K/yr)</w:t>
            </w:r>
          </w:p>
        </w:tc>
        <w:tc>
          <w:tcPr>
            <w:tcW w:type="dxa" w:w="252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Fortune 500 C-suite, large PE/VC funds</w:t>
            </w:r>
          </w:p>
        </w:tc>
        <w:tc>
          <w:tcPr>
            <w:tcW w:type="dxa" w:w="39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Full deployment · Custom integrations · Dedicated success · SLA · On-prem option</w:t>
            </w:r>
          </w:p>
        </w:tc>
      </w:tr>
    </w:tbl>
    <w:p>
      <w:pPr>
        <w:spacing w:before="120" w:after="120"/>
      </w:pPr>
      <w:r>
        <w:t xml:space="preserve"/>
      </w:r>
    </w:p>
    <w:p>
      <w:pPr>
        <w:pStyle w:val="Heading2"/>
        <w:spacing w:before="320" w:after="120"/>
      </w:pPr>
      <w:r>
        <w:rPr>
          <w:rFonts w:ascii="Arial" w:cs="Arial" w:eastAsia="Arial" w:hAnsi="Arial"/>
          <w:b/>
          <w:bCs/>
          <w:color w:val="1E1E2E"/>
          <w:sz w:val="28"/>
          <w:szCs w:val="28"/>
        </w:rPr>
        <w:t xml:space="preserve">6.3  Category Design: Owning the Language</w:t>
      </w:r>
    </w:p>
    <w:p>
      <w:pPr>
        <w:spacing w:before="80" w:after="120"/>
        <w:jc w:val="both"/>
      </w:pPr>
      <w:r>
        <w:rPr>
          <w:rFonts w:ascii="Arial" w:cs="Arial" w:eastAsia="Arial" w:hAnsi="Arial"/>
          <w:color w:val="1E1E2E"/>
          <w:sz w:val="22"/>
          <w:szCs w:val="22"/>
        </w:rPr>
        <w:t xml:space="preserve">Robin.ai's most durable competitive advantage in the market is not a feature — it is a vocabulary. The history of technology category creation shows that the company that names the category invariably leads it. Salesforce named 'CRM'. Slack named 'channels'. HubSpot named 'inbound marketing'.</w:t>
      </w:r>
    </w:p>
    <w:p>
      <w:pPr>
        <w:spacing w:before="80" w:after="120"/>
        <w:jc w:val="both"/>
      </w:pPr>
      <w:r>
        <w:rPr>
          <w:rFonts w:ascii="Arial" w:cs="Arial" w:eastAsia="Arial" w:hAnsi="Arial"/>
          <w:color w:val="1E1E2E"/>
          <w:sz w:val="22"/>
          <w:szCs w:val="22"/>
        </w:rPr>
        <w:t xml:space="preserve">Robin.ai is systematically building ownership of the following terms and concepts:</w:t>
      </w:r>
    </w:p>
    <w:p>
      <w:pPr>
        <w:pStyle w:val="ListParagraph"/>
        <w:numPr>
          <w:ilvl w:val="0"/>
          <w:numId w:val="2"/>
        </w:numPr>
        <w:spacing w:before="60" w:after="60"/>
      </w:pPr>
      <w:r>
        <w:rPr>
          <w:rFonts w:ascii="Arial" w:cs="Arial" w:eastAsia="Arial" w:hAnsi="Arial"/>
          <w:color w:val="1E1E2E"/>
          <w:sz w:val="22"/>
          <w:szCs w:val="22"/>
        </w:rPr>
        <w:t xml:space="preserve">Cognitive Firewall — the meta-category concept that defines what Robin.ai does at the highest level of abstraction</w:t>
      </w:r>
    </w:p>
    <w:p>
      <w:pPr>
        <w:pStyle w:val="ListParagraph"/>
        <w:numPr>
          <w:ilvl w:val="0"/>
          <w:numId w:val="2"/>
        </w:numPr>
        <w:spacing w:before="60" w:after="60"/>
      </w:pPr>
      <w:r>
        <w:rPr>
          <w:rFonts w:ascii="Arial" w:cs="Arial" w:eastAsia="Arial" w:hAnsi="Arial"/>
          <w:color w:val="1E1E2E"/>
          <w:sz w:val="22"/>
          <w:szCs w:val="22"/>
        </w:rPr>
        <w:t xml:space="preserve">Investor Operating System (IOS) — the product category container that distinguishes Robin from a 'tool' and frames it as infrastructure</w:t>
      </w:r>
    </w:p>
    <w:p>
      <w:pPr>
        <w:pStyle w:val="ListParagraph"/>
        <w:numPr>
          <w:ilvl w:val="0"/>
          <w:numId w:val="2"/>
        </w:numPr>
        <w:spacing w:before="60" w:after="60"/>
      </w:pPr>
      <w:r>
        <w:rPr>
          <w:rFonts w:ascii="Arial" w:cs="Arial" w:eastAsia="Arial" w:hAnsi="Arial"/>
          <w:color w:val="1E1E2E"/>
          <w:sz w:val="22"/>
          <w:szCs w:val="22"/>
        </w:rPr>
        <w:t xml:space="preserve">Conviction Gap — the problem definition that every potential user will recognize immediately and feel viscerally</w:t>
      </w:r>
    </w:p>
    <w:p>
      <w:pPr>
        <w:pStyle w:val="ListParagraph"/>
        <w:numPr>
          <w:ilvl w:val="0"/>
          <w:numId w:val="2"/>
        </w:numPr>
        <w:spacing w:before="60" w:after="60"/>
      </w:pPr>
      <w:r>
        <w:rPr>
          <w:rFonts w:ascii="Arial" w:cs="Arial" w:eastAsia="Arial" w:hAnsi="Arial"/>
          <w:color w:val="1E1E2E"/>
          <w:sz w:val="22"/>
          <w:szCs w:val="22"/>
        </w:rPr>
        <w:t xml:space="preserve">Evidence Logs — the anti-summary architecture that distinguishes Robin's output from all competing tools</w:t>
      </w:r>
    </w:p>
    <w:p>
      <w:pPr>
        <w:pStyle w:val="ListParagraph"/>
        <w:numPr>
          <w:ilvl w:val="0"/>
          <w:numId w:val="2"/>
        </w:numPr>
        <w:spacing w:before="60" w:after="60"/>
      </w:pPr>
      <w:r>
        <w:rPr>
          <w:rFonts w:ascii="Arial" w:cs="Arial" w:eastAsia="Arial" w:hAnsi="Arial"/>
          <w:color w:val="1E1E2E"/>
          <w:sz w:val="22"/>
          <w:szCs w:val="22"/>
        </w:rPr>
        <w:t xml:space="preserve">Blind Spot Detection — the specific capability that surfaces the most dangerous category of missing information</w:t>
      </w:r>
    </w:p>
    <w:p>
      <w:pPr>
        <w:pStyle w:val="ListParagraph"/>
        <w:numPr>
          <w:ilvl w:val="0"/>
          <w:numId w:val="2"/>
        </w:numPr>
        <w:spacing w:before="60" w:after="60"/>
      </w:pPr>
      <w:r>
        <w:rPr>
          <w:rFonts w:ascii="Arial" w:cs="Arial" w:eastAsia="Arial" w:hAnsi="Arial"/>
          <w:color w:val="1E1E2E"/>
          <w:sz w:val="22"/>
          <w:szCs w:val="22"/>
        </w:rPr>
        <w:t xml:space="preserve">GRUE Framework — the analytical standard that Robin.ai applies and that users will reference in their own diligence conversations</w:t>
      </w:r>
    </w:p>
    <w:p>
      <w:pPr>
        <w:spacing w:before="80" w:after="120"/>
        <w:jc w:val="both"/>
      </w:pPr>
      <w:r>
        <w:rPr>
          <w:rFonts w:ascii="Arial" w:cs="Arial" w:eastAsia="Arial" w:hAnsi="Arial"/>
          <w:color w:val="1E1E2E"/>
          <w:sz w:val="22"/>
          <w:szCs w:val="22"/>
        </w:rPr>
        <w:t xml:space="preserve">Each of these terms is designed to be immediately comprehensible, emotionally resonant, and practically applicable. We actively encourage users to use this vocabulary in their own communications, creating an organic propagation mechanism.</w:t>
      </w:r>
    </w:p>
    <w:p>
      <w:pPr>
        <w:pStyle w:val="Heading2"/>
        <w:spacing w:before="320" w:after="120"/>
      </w:pPr>
      <w:r>
        <w:rPr>
          <w:rFonts w:ascii="Arial" w:cs="Arial" w:eastAsia="Arial" w:hAnsi="Arial"/>
          <w:b/>
          <w:bCs/>
          <w:color w:val="1E1E2E"/>
          <w:sz w:val="28"/>
          <w:szCs w:val="28"/>
        </w:rPr>
        <w:t xml:space="preserve">6.4  Launch Sequencing</w:t>
      </w:r>
    </w:p>
    <w:p>
      <w:pPr>
        <w:spacing w:before="80" w:after="120"/>
        <w:jc w:val="both"/>
      </w:pPr>
      <w:r>
        <w:rPr>
          <w:rFonts w:ascii="Arial" w:cs="Arial" w:eastAsia="Arial" w:hAnsi="Arial"/>
          <w:color w:val="1E1E2E"/>
          <w:sz w:val="22"/>
          <w:szCs w:val="22"/>
        </w:rPr>
        <w:t xml:space="preserve">Robin.ai will follow a disciplined three-phase launch sequence:</w:t>
      </w:r>
    </w:p>
    <w:p>
      <w:pPr>
        <w:pStyle w:val="ListParagraph"/>
        <w:numPr>
          <w:ilvl w:val="0"/>
          <w:numId w:val="2"/>
        </w:numPr>
        <w:spacing w:before="60" w:after="60"/>
      </w:pPr>
      <w:r>
        <w:rPr>
          <w:rFonts w:ascii="Arial" w:cs="Arial" w:eastAsia="Arial" w:hAnsi="Arial"/>
          <w:b/>
          <w:bCs/>
          <w:color w:val="0F2D59"/>
          <w:sz w:val="22"/>
          <w:szCs w:val="22"/>
        </w:rPr>
        <w:t xml:space="preserve">Phase 0 (Months 0–3): Private Beta with 50 anchor users: </w:t>
      </w:r>
      <w:r>
        <w:rPr>
          <w:rFonts w:ascii="Arial" w:cs="Arial" w:eastAsia="Arial" w:hAnsi="Arial"/>
          <w:color w:val="1E1E2E"/>
          <w:sz w:val="22"/>
          <w:szCs w:val="22"/>
        </w:rPr>
        <w:t xml:space="preserve">Hand-selected from IIT/IIM/Stanford network. Zero marketing. Intensive feedback loop. Goal: achieve a qualitative experience so superior to alternatives that users feel compelled to share it.</w:t>
      </w:r>
    </w:p>
    <w:p>
      <w:pPr>
        <w:pStyle w:val="ListParagraph"/>
        <w:numPr>
          <w:ilvl w:val="0"/>
          <w:numId w:val="2"/>
        </w:numPr>
        <w:spacing w:before="60" w:after="60"/>
      </w:pPr>
      <w:r>
        <w:rPr>
          <w:rFonts w:ascii="Arial" w:cs="Arial" w:eastAsia="Arial" w:hAnsi="Arial"/>
          <w:b/>
          <w:bCs/>
          <w:color w:val="0F2D59"/>
          <w:sz w:val="22"/>
          <w:szCs w:val="22"/>
        </w:rPr>
        <w:t xml:space="preserve">Phase 1 (Months 3–9): Invite-Only Public Beta: </w:t>
      </w:r>
      <w:r>
        <w:rPr>
          <w:rFonts w:ascii="Arial" w:cs="Arial" w:eastAsia="Arial" w:hAnsi="Arial"/>
          <w:color w:val="1E1E2E"/>
          <w:sz w:val="22"/>
          <w:szCs w:val="22"/>
        </w:rPr>
        <w:t xml:space="preserve">Expand to 500 users via referral. Publish first GRUE white paper. Launch Granola integration. Begin content engine. Target: $50K MRR.</w:t>
      </w:r>
    </w:p>
    <w:p>
      <w:pPr>
        <w:pStyle w:val="ListParagraph"/>
        <w:numPr>
          <w:ilvl w:val="0"/>
          <w:numId w:val="2"/>
        </w:numPr>
        <w:spacing w:before="60" w:after="60"/>
      </w:pPr>
      <w:r>
        <w:rPr>
          <w:rFonts w:ascii="Arial" w:cs="Arial" w:eastAsia="Arial" w:hAnsi="Arial"/>
          <w:b/>
          <w:bCs/>
          <w:color w:val="0F2D59"/>
          <w:sz w:val="22"/>
          <w:szCs w:val="22"/>
        </w:rPr>
        <w:t xml:space="preserve">Phase 2 (Months 9–18): Full Public Launch: </w:t>
      </w:r>
      <w:r>
        <w:rPr>
          <w:rFonts w:ascii="Arial" w:cs="Arial" w:eastAsia="Arial" w:hAnsi="Arial"/>
          <w:color w:val="1E1E2E"/>
          <w:sz w:val="22"/>
          <w:szCs w:val="22"/>
        </w:rPr>
        <w:t xml:space="preserve">Open signup with freemium tier. Launch fund plan. Begin enterprise outreach. Target: $300K MRR, 3,000 active users.</w:t>
      </w:r>
    </w:p>
    <w:p>
      <w:r>
        <w:br w:type="page"/>
      </w:r>
    </w:p>
    <w:p>
      <w:pPr>
        <w:spacing w:before="200" w:after="80"/>
      </w:pPr>
      <w:r>
        <w:rPr>
          <w:rFonts w:ascii="Arial" w:cs="Arial" w:eastAsia="Arial" w:hAnsi="Arial"/>
          <w:b/>
          <w:bCs/>
          <w:color w:val="E8501A"/>
          <w:spacing w:val="60"/>
          <w:sz w:val="18"/>
          <w:szCs w:val="18"/>
        </w:rPr>
        <w:t xml:space="preserve">PART VII</w:t>
      </w:r>
    </w:p>
    <w:p>
      <w:pPr>
        <w:pStyle w:val="Heading1"/>
        <w:pBdr>
          <w:bottom w:val="single" w:color="E8501A" w:sz="4" w:space="4"/>
        </w:pBdr>
        <w:spacing w:before="400" w:after="160"/>
      </w:pPr>
      <w:r>
        <w:rPr>
          <w:rFonts w:ascii="Arial" w:cs="Arial" w:eastAsia="Arial" w:hAnsi="Arial"/>
          <w:b/>
          <w:bCs/>
          <w:color w:val="0F2D59"/>
          <w:sz w:val="36"/>
          <w:szCs w:val="36"/>
        </w:rPr>
        <w:t xml:space="preserve">Product Roadmap: From Firewall to Intelligence Network</w:t>
      </w:r>
    </w:p>
    <w:p>
      <w:pPr>
        <w:spacing w:before="120" w:after="160"/>
        <w:jc w:val="both"/>
      </w:pPr>
      <w:r>
        <w:rPr>
          <w:rFonts w:ascii="Arial" w:cs="Arial" w:eastAsia="Arial" w:hAnsi="Arial"/>
          <w:i/>
          <w:iCs/>
          <w:color w:val="1E1E2E"/>
          <w:sz w:val="24"/>
          <w:szCs w:val="24"/>
        </w:rPr>
        <w:t xml:space="preserve">The product roadmap is structured around three value expansion phases, each building on the infrastructure of the previous phase. The north star is not 'more features' — it is 'deeper conviction.'</w:t>
      </w:r>
    </w:p>
    <w:p>
      <w:pPr>
        <w:pStyle w:val="Heading2"/>
        <w:spacing w:before="320" w:after="120"/>
      </w:pPr>
      <w:r>
        <w:rPr>
          <w:rFonts w:ascii="Arial" w:cs="Arial" w:eastAsia="Arial" w:hAnsi="Arial"/>
          <w:b/>
          <w:bCs/>
          <w:color w:val="1E1E2E"/>
          <w:sz w:val="28"/>
          <w:szCs w:val="28"/>
        </w:rPr>
        <w:t xml:space="preserve">7.1  Phase 1 (0–6 Months): Core SPA</w:t>
      </w:r>
    </w:p>
    <w:p>
      <w:pPr>
        <w:spacing w:before="80" w:after="120"/>
        <w:jc w:val="both"/>
      </w:pPr>
      <w:r>
        <w:rPr>
          <w:rFonts w:ascii="Arial" w:cs="Arial" w:eastAsia="Arial" w:hAnsi="Arial"/>
          <w:color w:val="1E1E2E"/>
          <w:sz w:val="22"/>
          <w:szCs w:val="22"/>
        </w:rPr>
        <w:t xml:space="preserve">The initial product release focuses on delivering the three core SPA layers in a clean, fast, and highly opinionated user interface. The design philosophy is 'radical constraint' — the product does one thing (analyze a conversation for investment signal) and does it better than any human analyst could do in the same time.</w:t>
      </w:r>
    </w:p>
    <w:p>
      <w:pPr>
        <w:pStyle w:val="ListParagraph"/>
        <w:numPr>
          <w:ilvl w:val="0"/>
          <w:numId w:val="2"/>
        </w:numPr>
        <w:spacing w:before="60" w:after="60"/>
      </w:pPr>
      <w:r>
        <w:rPr>
          <w:rFonts w:ascii="Arial" w:cs="Arial" w:eastAsia="Arial" w:hAnsi="Arial"/>
          <w:color w:val="1E1E2E"/>
          <w:sz w:val="22"/>
          <w:szCs w:val="22"/>
        </w:rPr>
        <w:t xml:space="preserve">Granola transcript ingestion (one-click import via API)</w:t>
      </w:r>
    </w:p>
    <w:p>
      <w:pPr>
        <w:pStyle w:val="ListParagraph"/>
        <w:numPr>
          <w:ilvl w:val="0"/>
          <w:numId w:val="2"/>
        </w:numPr>
        <w:spacing w:before="60" w:after="60"/>
      </w:pPr>
      <w:r>
        <w:rPr>
          <w:rFonts w:ascii="Arial" w:cs="Arial" w:eastAsia="Arial" w:hAnsi="Arial"/>
          <w:color w:val="1E1E2E"/>
          <w:sz w:val="22"/>
          <w:szCs w:val="22"/>
        </w:rPr>
        <w:t xml:space="preserve">Wispr dictation cross-reference (manual paste + structured input form)</w:t>
      </w:r>
    </w:p>
    <w:p>
      <w:pPr>
        <w:pStyle w:val="ListParagraph"/>
        <w:numPr>
          <w:ilvl w:val="0"/>
          <w:numId w:val="2"/>
        </w:numPr>
        <w:spacing w:before="60" w:after="60"/>
      </w:pPr>
      <w:r>
        <w:rPr>
          <w:rFonts w:ascii="Arial" w:cs="Arial" w:eastAsia="Arial" w:hAnsi="Arial"/>
          <w:color w:val="1E1E2E"/>
          <w:sz w:val="22"/>
          <w:szCs w:val="22"/>
        </w:rPr>
        <w:t xml:space="preserve">Semantic Evidence Log generation (claim extraction with source quotations)</w:t>
      </w:r>
    </w:p>
    <w:p>
      <w:pPr>
        <w:pStyle w:val="ListParagraph"/>
        <w:numPr>
          <w:ilvl w:val="0"/>
          <w:numId w:val="2"/>
        </w:numPr>
        <w:spacing w:before="60" w:after="60"/>
      </w:pPr>
      <w:r>
        <w:rPr>
          <w:rFonts w:ascii="Arial" w:cs="Arial" w:eastAsia="Arial" w:hAnsi="Arial"/>
          <w:color w:val="1E1E2E"/>
          <w:sz w:val="22"/>
          <w:szCs w:val="22"/>
        </w:rPr>
        <w:t xml:space="preserve">GRUE Diligence Checklist (auto-generated based on what was not said)</w:t>
      </w:r>
    </w:p>
    <w:p>
      <w:pPr>
        <w:pStyle w:val="ListParagraph"/>
        <w:numPr>
          <w:ilvl w:val="0"/>
          <w:numId w:val="2"/>
        </w:numPr>
        <w:spacing w:before="60" w:after="60"/>
      </w:pPr>
      <w:r>
        <w:rPr>
          <w:rFonts w:ascii="Arial" w:cs="Arial" w:eastAsia="Arial" w:hAnsi="Arial"/>
          <w:color w:val="1E1E2E"/>
          <w:sz w:val="22"/>
          <w:szCs w:val="22"/>
        </w:rPr>
        <w:t xml:space="preserve">Conflict Reporter (basic Type A and Type B detection)</w:t>
      </w:r>
    </w:p>
    <w:p>
      <w:pPr>
        <w:pStyle w:val="ListParagraph"/>
        <w:numPr>
          <w:ilvl w:val="0"/>
          <w:numId w:val="2"/>
        </w:numPr>
        <w:spacing w:before="60" w:after="60"/>
      </w:pPr>
      <w:r>
        <w:rPr>
          <w:rFonts w:ascii="Arial" w:cs="Arial" w:eastAsia="Arial" w:hAnsi="Arial"/>
          <w:color w:val="1E1E2E"/>
          <w:sz w:val="22"/>
          <w:szCs w:val="22"/>
        </w:rPr>
        <w:t xml:space="preserve">BYOK support for OpenAI GPT-4 and Anthropic Claude</w:t>
      </w:r>
    </w:p>
    <w:p>
      <w:pPr>
        <w:pStyle w:val="ListParagraph"/>
        <w:numPr>
          <w:ilvl w:val="0"/>
          <w:numId w:val="2"/>
        </w:numPr>
        <w:spacing w:before="60" w:after="60"/>
      </w:pPr>
      <w:r>
        <w:rPr>
          <w:rFonts w:ascii="Arial" w:cs="Arial" w:eastAsia="Arial" w:hAnsi="Arial"/>
          <w:color w:val="1E1E2E"/>
          <w:sz w:val="22"/>
          <w:szCs w:val="22"/>
        </w:rPr>
        <w:t xml:space="preserve">Single-user web application (desktop-first)</w:t>
      </w:r>
    </w:p>
    <w:p>
      <w:pPr>
        <w:pStyle w:val="Heading2"/>
        <w:spacing w:before="320" w:after="120"/>
      </w:pPr>
      <w:r>
        <w:rPr>
          <w:rFonts w:ascii="Arial" w:cs="Arial" w:eastAsia="Arial" w:hAnsi="Arial"/>
          <w:b/>
          <w:bCs/>
          <w:color w:val="1E1E2E"/>
          <w:sz w:val="28"/>
          <w:szCs w:val="28"/>
        </w:rPr>
        <w:t xml:space="preserve">7.2  Phase 2 (6–18 Months): Intelligence Amplification</w:t>
      </w:r>
    </w:p>
    <w:p>
      <w:pPr>
        <w:spacing w:before="80" w:after="120"/>
        <w:jc w:val="both"/>
      </w:pPr>
      <w:r>
        <w:rPr>
          <w:rFonts w:ascii="Arial" w:cs="Arial" w:eastAsia="Arial" w:hAnsi="Arial"/>
          <w:color w:val="1E1E2E"/>
          <w:sz w:val="22"/>
          <w:szCs w:val="22"/>
        </w:rPr>
        <w:t xml:space="preserve">The second phase focuses on making the core intelligence more powerful and extending the data input surface:</w:t>
      </w:r>
    </w:p>
    <w:p>
      <w:pPr>
        <w:pStyle w:val="ListParagraph"/>
        <w:numPr>
          <w:ilvl w:val="0"/>
          <w:numId w:val="2"/>
        </w:numPr>
        <w:spacing w:before="60" w:after="60"/>
      </w:pPr>
      <w:r>
        <w:rPr>
          <w:rFonts w:ascii="Arial" w:cs="Arial" w:eastAsia="Arial" w:hAnsi="Arial"/>
          <w:color w:val="1E1E2E"/>
          <w:sz w:val="22"/>
          <w:szCs w:val="22"/>
        </w:rPr>
        <w:t xml:space="preserve">Pedigree Intelligence Layer (founder/executive profile tracking across sessions)</w:t>
      </w:r>
    </w:p>
    <w:p>
      <w:pPr>
        <w:pStyle w:val="ListParagraph"/>
        <w:numPr>
          <w:ilvl w:val="0"/>
          <w:numId w:val="2"/>
        </w:numPr>
        <w:spacing w:before="60" w:after="60"/>
      </w:pPr>
      <w:r>
        <w:rPr>
          <w:rFonts w:ascii="Arial" w:cs="Arial" w:eastAsia="Arial" w:hAnsi="Arial"/>
          <w:color w:val="1E1E2E"/>
          <w:sz w:val="22"/>
          <w:szCs w:val="22"/>
        </w:rPr>
        <w:t xml:space="preserve">Type C Conflict Detection (omission analysis)</w:t>
      </w:r>
    </w:p>
    <w:p>
      <w:pPr>
        <w:pStyle w:val="ListParagraph"/>
        <w:numPr>
          <w:ilvl w:val="0"/>
          <w:numId w:val="2"/>
        </w:numPr>
        <w:spacing w:before="60" w:after="60"/>
      </w:pPr>
      <w:r>
        <w:rPr>
          <w:rFonts w:ascii="Arial" w:cs="Arial" w:eastAsia="Arial" w:hAnsi="Arial"/>
          <w:color w:val="1E1E2E"/>
          <w:sz w:val="22"/>
          <w:szCs w:val="22"/>
        </w:rPr>
        <w:t xml:space="preserve">AI Polish Detector (narrative authenticity scoring)</w:t>
      </w:r>
    </w:p>
    <w:p>
      <w:pPr>
        <w:pStyle w:val="ListParagraph"/>
        <w:numPr>
          <w:ilvl w:val="0"/>
          <w:numId w:val="2"/>
        </w:numPr>
        <w:spacing w:before="60" w:after="60"/>
      </w:pPr>
      <w:r>
        <w:rPr>
          <w:rFonts w:ascii="Arial" w:cs="Arial" w:eastAsia="Arial" w:hAnsi="Arial"/>
          <w:color w:val="1E1E2E"/>
          <w:sz w:val="22"/>
          <w:szCs w:val="22"/>
        </w:rPr>
        <w:t xml:space="preserve">Calendar integration (automatic meeting detection and queuing)</w:t>
      </w:r>
    </w:p>
    <w:p>
      <w:pPr>
        <w:pStyle w:val="ListParagraph"/>
        <w:numPr>
          <w:ilvl w:val="0"/>
          <w:numId w:val="2"/>
        </w:numPr>
        <w:spacing w:before="60" w:after="60"/>
      </w:pPr>
      <w:r>
        <w:rPr>
          <w:rFonts w:ascii="Arial" w:cs="Arial" w:eastAsia="Arial" w:hAnsi="Arial"/>
          <w:color w:val="1E1E2E"/>
          <w:sz w:val="22"/>
          <w:szCs w:val="22"/>
        </w:rPr>
        <w:t xml:space="preserve">Fund-level shared Evidence Vault (collaborative diligence workspace)</w:t>
      </w:r>
    </w:p>
    <w:p>
      <w:pPr>
        <w:pStyle w:val="ListParagraph"/>
        <w:numPr>
          <w:ilvl w:val="0"/>
          <w:numId w:val="2"/>
        </w:numPr>
        <w:spacing w:before="60" w:after="60"/>
      </w:pPr>
      <w:r>
        <w:rPr>
          <w:rFonts w:ascii="Arial" w:cs="Arial" w:eastAsia="Arial" w:hAnsi="Arial"/>
          <w:color w:val="1E1E2E"/>
          <w:sz w:val="22"/>
          <w:szCs w:val="22"/>
        </w:rPr>
        <w:t xml:space="preserve">Mobile application for post-meeting dictation capture</w:t>
      </w:r>
    </w:p>
    <w:p>
      <w:pPr>
        <w:pStyle w:val="ListParagraph"/>
        <w:numPr>
          <w:ilvl w:val="0"/>
          <w:numId w:val="2"/>
        </w:numPr>
        <w:spacing w:before="60" w:after="60"/>
      </w:pPr>
      <w:r>
        <w:rPr>
          <w:rFonts w:ascii="Arial" w:cs="Arial" w:eastAsia="Arial" w:hAnsi="Arial"/>
          <w:color w:val="1E1E2E"/>
          <w:sz w:val="22"/>
          <w:szCs w:val="22"/>
        </w:rPr>
        <w:t xml:space="preserve">Groq API support (for users requiring faster inference at lower cost)</w:t>
      </w:r>
    </w:p>
    <w:p>
      <w:pPr>
        <w:pStyle w:val="ListParagraph"/>
        <w:numPr>
          <w:ilvl w:val="0"/>
          <w:numId w:val="2"/>
        </w:numPr>
        <w:spacing w:before="60" w:after="60"/>
      </w:pPr>
      <w:r>
        <w:rPr>
          <w:rFonts w:ascii="Arial" w:cs="Arial" w:eastAsia="Arial" w:hAnsi="Arial"/>
          <w:color w:val="1E1E2E"/>
          <w:sz w:val="22"/>
          <w:szCs w:val="22"/>
        </w:rPr>
        <w:t xml:space="preserve">Export to Notion, Obsidian, and standard diligence memo templates</w:t>
      </w:r>
    </w:p>
    <w:p>
      <w:pPr>
        <w:pStyle w:val="Heading2"/>
        <w:spacing w:before="320" w:after="120"/>
      </w:pPr>
      <w:r>
        <w:rPr>
          <w:rFonts w:ascii="Arial" w:cs="Arial" w:eastAsia="Arial" w:hAnsi="Arial"/>
          <w:b/>
          <w:bCs/>
          <w:color w:val="1E1E2E"/>
          <w:sz w:val="28"/>
          <w:szCs w:val="28"/>
        </w:rPr>
        <w:t xml:space="preserve">7.3  Phase 3 (18–36 Months): Network Intelligence</w:t>
      </w:r>
    </w:p>
    <w:p>
      <w:pPr>
        <w:spacing w:before="80" w:after="120"/>
        <w:jc w:val="both"/>
      </w:pPr>
      <w:r>
        <w:rPr>
          <w:rFonts w:ascii="Arial" w:cs="Arial" w:eastAsia="Arial" w:hAnsi="Arial"/>
          <w:color w:val="1E1E2E"/>
          <w:sz w:val="22"/>
          <w:szCs w:val="22"/>
        </w:rPr>
        <w:t xml:space="preserve">The third phase activates the network effects that transform Robin.ai from a per-user tool into category infrastructure:</w:t>
      </w:r>
    </w:p>
    <w:p>
      <w:pPr>
        <w:pStyle w:val="ListParagraph"/>
        <w:numPr>
          <w:ilvl w:val="0"/>
          <w:numId w:val="2"/>
        </w:numPr>
        <w:spacing w:before="60" w:after="60"/>
      </w:pPr>
      <w:r>
        <w:rPr>
          <w:rFonts w:ascii="Arial" w:cs="Arial" w:eastAsia="Arial" w:hAnsi="Arial"/>
          <w:color w:val="1E1E2E"/>
          <w:sz w:val="22"/>
          <w:szCs w:val="22"/>
        </w:rPr>
        <w:t xml:space="preserve">Cross-fund Pedigree Intelligence (with privacy-preserving federated architecture)</w:t>
      </w:r>
    </w:p>
    <w:p>
      <w:pPr>
        <w:pStyle w:val="ListParagraph"/>
        <w:numPr>
          <w:ilvl w:val="0"/>
          <w:numId w:val="2"/>
        </w:numPr>
        <w:spacing w:before="60" w:after="60"/>
      </w:pPr>
      <w:r>
        <w:rPr>
          <w:rFonts w:ascii="Arial" w:cs="Arial" w:eastAsia="Arial" w:hAnsi="Arial"/>
          <w:color w:val="1E1E2E"/>
          <w:sz w:val="22"/>
          <w:szCs w:val="22"/>
        </w:rPr>
        <w:t xml:space="preserve">Claim consistency alerts (notify user when a founder's claims have changed across multiple interactions tracked in the network)</w:t>
      </w:r>
    </w:p>
    <w:p>
      <w:pPr>
        <w:pStyle w:val="ListParagraph"/>
        <w:numPr>
          <w:ilvl w:val="0"/>
          <w:numId w:val="2"/>
        </w:numPr>
        <w:spacing w:before="60" w:after="60"/>
      </w:pPr>
      <w:r>
        <w:rPr>
          <w:rFonts w:ascii="Arial" w:cs="Arial" w:eastAsia="Arial" w:hAnsi="Arial"/>
          <w:color w:val="1E1E2E"/>
          <w:sz w:val="22"/>
          <w:szCs w:val="22"/>
        </w:rPr>
        <w:t xml:space="preserve">Conviction Score API (allow downstream tools to query Robin.ai's intelligence layer)</w:t>
      </w:r>
    </w:p>
    <w:p>
      <w:pPr>
        <w:pStyle w:val="ListParagraph"/>
        <w:numPr>
          <w:ilvl w:val="0"/>
          <w:numId w:val="2"/>
        </w:numPr>
        <w:spacing w:before="60" w:after="60"/>
      </w:pPr>
      <w:r>
        <w:rPr>
          <w:rFonts w:ascii="Arial" w:cs="Arial" w:eastAsia="Arial" w:hAnsi="Arial"/>
          <w:color w:val="1E1E2E"/>
          <w:sz w:val="22"/>
          <w:szCs w:val="22"/>
        </w:rPr>
        <w:t xml:space="preserve">Voice-native interface (full Robin.ai analysis initiatable via voice command)</w:t>
      </w:r>
    </w:p>
    <w:p>
      <w:pPr>
        <w:pStyle w:val="ListParagraph"/>
        <w:numPr>
          <w:ilvl w:val="0"/>
          <w:numId w:val="2"/>
        </w:numPr>
        <w:spacing w:before="60" w:after="60"/>
      </w:pPr>
      <w:r>
        <w:rPr>
          <w:rFonts w:ascii="Arial" w:cs="Arial" w:eastAsia="Arial" w:hAnsi="Arial"/>
          <w:color w:val="1E1E2E"/>
          <w:sz w:val="22"/>
          <w:szCs w:val="22"/>
        </w:rPr>
        <w:t xml:space="preserve">Enterprise SSO and compliance features (SOC 2 Type II, GDPR, DPDP India compliance)</w:t>
      </w:r>
    </w:p>
    <w:p>
      <w:pPr>
        <w:pStyle w:val="ListParagraph"/>
        <w:numPr>
          <w:ilvl w:val="0"/>
          <w:numId w:val="2"/>
        </w:numPr>
        <w:spacing w:before="60" w:after="60"/>
      </w:pPr>
      <w:r>
        <w:rPr>
          <w:rFonts w:ascii="Arial" w:cs="Arial" w:eastAsia="Arial" w:hAnsi="Arial"/>
          <w:color w:val="1E1E2E"/>
          <w:sz w:val="22"/>
          <w:szCs w:val="22"/>
        </w:rPr>
        <w:t xml:space="preserve">Industry-specific GRUE variants (SaaS, Fintech, Biotech, Consumer, Deep Tech)</w:t>
      </w:r>
    </w:p>
    <w:p>
      <w:r>
        <w:br w:type="page"/>
      </w:r>
    </w:p>
    <w:p>
      <w:pPr>
        <w:spacing w:before="200" w:after="80"/>
      </w:pPr>
      <w:r>
        <w:rPr>
          <w:rFonts w:ascii="Arial" w:cs="Arial" w:eastAsia="Arial" w:hAnsi="Arial"/>
          <w:b/>
          <w:bCs/>
          <w:color w:val="E8501A"/>
          <w:spacing w:val="60"/>
          <w:sz w:val="18"/>
          <w:szCs w:val="18"/>
        </w:rPr>
        <w:t xml:space="preserve">PART VIII</w:t>
      </w:r>
    </w:p>
    <w:p>
      <w:pPr>
        <w:pStyle w:val="Heading1"/>
        <w:pBdr>
          <w:bottom w:val="single" w:color="E8501A" w:sz="4" w:space="4"/>
        </w:pBdr>
        <w:spacing w:before="400" w:after="160"/>
      </w:pPr>
      <w:r>
        <w:rPr>
          <w:rFonts w:ascii="Arial" w:cs="Arial" w:eastAsia="Arial" w:hAnsi="Arial"/>
          <w:b/>
          <w:bCs/>
          <w:color w:val="0F2D59"/>
          <w:sz w:val="36"/>
          <w:szCs w:val="36"/>
        </w:rPr>
        <w:t xml:space="preserve">Business Model &amp; Unit Economics</w:t>
      </w:r>
    </w:p>
    <w:p>
      <w:pPr>
        <w:spacing w:before="120" w:after="160"/>
        <w:jc w:val="both"/>
      </w:pPr>
      <w:r>
        <w:rPr>
          <w:rFonts w:ascii="Arial" w:cs="Arial" w:eastAsia="Arial" w:hAnsi="Arial"/>
          <w:i/>
          <w:iCs/>
          <w:color w:val="1E1E2E"/>
          <w:sz w:val="24"/>
          <w:szCs w:val="24"/>
        </w:rPr>
        <w:t xml:space="preserve">Robin.ai's business model is designed for high gross margins, strong net revenue retention, and a unit economics profile that supports both bootstrapped growth and venture-backed acceleration.</w:t>
      </w:r>
    </w:p>
    <w:p>
      <w:pPr>
        <w:pStyle w:val="Heading2"/>
        <w:spacing w:before="320" w:after="120"/>
      </w:pPr>
      <w:r>
        <w:rPr>
          <w:rFonts w:ascii="Arial" w:cs="Arial" w:eastAsia="Arial" w:hAnsi="Arial"/>
          <w:b/>
          <w:bCs/>
          <w:color w:val="1E1E2E"/>
          <w:sz w:val="28"/>
          <w:szCs w:val="28"/>
        </w:rPr>
        <w:t xml:space="preserve">8.1  Revenue Architecture</w:t>
      </w:r>
    </w:p>
    <w:p>
      <w:pPr>
        <w:spacing w:before="80" w:after="120"/>
        <w:jc w:val="both"/>
      </w:pPr>
      <w:r>
        <w:rPr>
          <w:rFonts w:ascii="Arial" w:cs="Arial" w:eastAsia="Arial" w:hAnsi="Arial"/>
          <w:color w:val="1E1E2E"/>
          <w:sz w:val="22"/>
          <w:szCs w:val="22"/>
        </w:rPr>
        <w:t xml:space="preserve">Revenue comes from three sources with increasing strategic importance over time:</w:t>
      </w:r>
    </w:p>
    <w:p>
      <w:pPr>
        <w:pStyle w:val="ListParagraph"/>
        <w:numPr>
          <w:ilvl w:val="0"/>
          <w:numId w:val="2"/>
        </w:numPr>
        <w:spacing w:before="60" w:after="60"/>
      </w:pPr>
      <w:r>
        <w:rPr>
          <w:rFonts w:ascii="Arial" w:cs="Arial" w:eastAsia="Arial" w:hAnsi="Arial"/>
          <w:b/>
          <w:bCs/>
          <w:color w:val="0F2D59"/>
          <w:sz w:val="22"/>
          <w:szCs w:val="22"/>
        </w:rPr>
        <w:t xml:space="preserve">Subscription Revenue (80% of total): </w:t>
      </w:r>
      <w:r>
        <w:rPr>
          <w:rFonts w:ascii="Arial" w:cs="Arial" w:eastAsia="Arial" w:hAnsi="Arial"/>
          <w:color w:val="1E1E2E"/>
          <w:sz w:val="22"/>
          <w:szCs w:val="22"/>
        </w:rPr>
        <w:t xml:space="preserve">Recurring monthly/annual subscription fees from individuals, teams, and enterprises. This is the core revenue driver and provides predictable cash flow.</w:t>
      </w:r>
    </w:p>
    <w:p>
      <w:pPr>
        <w:pStyle w:val="ListParagraph"/>
        <w:numPr>
          <w:ilvl w:val="0"/>
          <w:numId w:val="2"/>
        </w:numPr>
        <w:spacing w:before="60" w:after="60"/>
      </w:pPr>
      <w:r>
        <w:rPr>
          <w:rFonts w:ascii="Arial" w:cs="Arial" w:eastAsia="Arial" w:hAnsi="Arial"/>
          <w:b/>
          <w:bCs/>
          <w:color w:val="0F2D59"/>
          <w:sz w:val="22"/>
          <w:szCs w:val="22"/>
        </w:rPr>
        <w:t xml:space="preserve">Intelligence API Revenue (15% of total, Year 3+): </w:t>
      </w:r>
      <w:r>
        <w:rPr>
          <w:rFonts w:ascii="Arial" w:cs="Arial" w:eastAsia="Arial" w:hAnsi="Arial"/>
          <w:color w:val="1E1E2E"/>
          <w:sz w:val="22"/>
          <w:szCs w:val="22"/>
        </w:rPr>
        <w:t xml:space="preserve">As the Pedigree Intelligence Network matures, third-party tools will pay to access conviction scoring and claim-consistency data through a Robin.ai intelligence API. This is the highest-margin revenue stream and the most defensible long-term.</w:t>
      </w:r>
    </w:p>
    <w:p>
      <w:pPr>
        <w:pStyle w:val="ListParagraph"/>
        <w:numPr>
          <w:ilvl w:val="0"/>
          <w:numId w:val="2"/>
        </w:numPr>
        <w:spacing w:before="60" w:after="60"/>
      </w:pPr>
      <w:r>
        <w:rPr>
          <w:rFonts w:ascii="Arial" w:cs="Arial" w:eastAsia="Arial" w:hAnsi="Arial"/>
          <w:b/>
          <w:bCs/>
          <w:color w:val="0F2D59"/>
          <w:sz w:val="22"/>
          <w:szCs w:val="22"/>
        </w:rPr>
        <w:t xml:space="preserve">Professional Services (5% of total): </w:t>
      </w:r>
      <w:r>
        <w:rPr>
          <w:rFonts w:ascii="Arial" w:cs="Arial" w:eastAsia="Arial" w:hAnsi="Arial"/>
          <w:color w:val="1E1E2E"/>
          <w:sz w:val="22"/>
          <w:szCs w:val="22"/>
        </w:rPr>
        <w:t xml:space="preserve">Custom GRUE framework configuration, enterprise onboarding, and training for large institutional deployments.</w:t>
      </w:r>
    </w:p>
    <w:p>
      <w:pPr>
        <w:pStyle w:val="Heading2"/>
        <w:spacing w:before="320" w:after="120"/>
      </w:pPr>
      <w:r>
        <w:rPr>
          <w:rFonts w:ascii="Arial" w:cs="Arial" w:eastAsia="Arial" w:hAnsi="Arial"/>
          <w:b/>
          <w:bCs/>
          <w:color w:val="1E1E2E"/>
          <w:sz w:val="28"/>
          <w:szCs w:val="28"/>
        </w:rPr>
        <w:t xml:space="preserve">8.2  Unit Economics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Metric</w:t>
            </w:r>
          </w:p>
        </w:tc>
        <w:tc>
          <w:tcPr>
            <w:tcW w:type="dxa" w:w="20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Individual Plan</w:t>
            </w:r>
          </w:p>
        </w:tc>
        <w:tc>
          <w:tcPr>
            <w:tcW w:type="dxa" w:w="20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Fund Plan</w:t>
            </w:r>
          </w:p>
        </w:tc>
        <w:tc>
          <w:tcPr>
            <w:tcW w:type="dxa" w:w="256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Enterprise</w:t>
            </w:r>
          </w:p>
        </w:tc>
      </w:tr>
      <w:tr>
        <w:tc>
          <w:tcPr>
            <w:tcW w:type="dxa" w:w="28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ARPU (Annual)</w:t>
            </w:r>
          </w:p>
        </w:tc>
        <w:tc>
          <w:tcPr>
            <w:tcW w:type="dxa" w:w="20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$2,400</w:t>
            </w:r>
          </w:p>
        </w:tc>
        <w:tc>
          <w:tcPr>
            <w:tcW w:type="dxa" w:w="20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$29,988</w:t>
            </w:r>
          </w:p>
        </w:tc>
        <w:tc>
          <w:tcPr>
            <w:tcW w:type="dxa" w:w="2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$75,000 (avg)</w:t>
            </w:r>
          </w:p>
        </w:tc>
      </w:tr>
      <w:tr>
        <w:tc>
          <w:tcPr>
            <w:tcW w:type="dxa" w:w="28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Gross Margin</w:t>
            </w:r>
          </w:p>
        </w:tc>
        <w:tc>
          <w:tcPr>
            <w:tcW w:type="dxa" w:w="20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~85%</w:t>
            </w:r>
          </w:p>
        </w:tc>
        <w:tc>
          <w:tcPr>
            <w:tcW w:type="dxa" w:w="20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~82%</w:t>
            </w:r>
          </w:p>
        </w:tc>
        <w:tc>
          <w:tcPr>
            <w:tcW w:type="dxa" w:w="2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~70%</w:t>
            </w:r>
          </w:p>
        </w:tc>
      </w:tr>
      <w:tr>
        <w:tc>
          <w:tcPr>
            <w:tcW w:type="dxa" w:w="28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CAC</w:t>
            </w:r>
          </w:p>
        </w:tc>
        <w:tc>
          <w:tcPr>
            <w:tcW w:type="dxa" w:w="20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$120 (organic/referral)</w:t>
            </w:r>
          </w:p>
        </w:tc>
        <w:tc>
          <w:tcPr>
            <w:tcW w:type="dxa" w:w="20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$800 (content + warm outreach)</w:t>
            </w:r>
          </w:p>
        </w:tc>
        <w:tc>
          <w:tcPr>
            <w:tcW w:type="dxa" w:w="2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$8,000 (sales cycle)</w:t>
            </w:r>
          </w:p>
        </w:tc>
      </w:tr>
      <w:tr>
        <w:tc>
          <w:tcPr>
            <w:tcW w:type="dxa" w:w="28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LTV (3-yr)</w:t>
            </w:r>
          </w:p>
        </w:tc>
        <w:tc>
          <w:tcPr>
            <w:tcW w:type="dxa" w:w="20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$7,200</w:t>
            </w:r>
          </w:p>
        </w:tc>
        <w:tc>
          <w:tcPr>
            <w:tcW w:type="dxa" w:w="20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$89,964</w:t>
            </w:r>
          </w:p>
        </w:tc>
        <w:tc>
          <w:tcPr>
            <w:tcW w:type="dxa" w:w="2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$225,000</w:t>
            </w:r>
          </w:p>
        </w:tc>
      </w:tr>
      <w:tr>
        <w:tc>
          <w:tcPr>
            <w:tcW w:type="dxa" w:w="28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LTV:CAC Ratio</w:t>
            </w:r>
          </w:p>
        </w:tc>
        <w:tc>
          <w:tcPr>
            <w:tcW w:type="dxa" w:w="20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60:1</w:t>
            </w:r>
          </w:p>
        </w:tc>
        <w:tc>
          <w:tcPr>
            <w:tcW w:type="dxa" w:w="20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112:1</w:t>
            </w:r>
          </w:p>
        </w:tc>
        <w:tc>
          <w:tcPr>
            <w:tcW w:type="dxa" w:w="2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28:1</w:t>
            </w:r>
          </w:p>
        </w:tc>
      </w:tr>
      <w:tr>
        <w:tc>
          <w:tcPr>
            <w:tcW w:type="dxa" w:w="28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Payback Period</w:t>
            </w:r>
          </w:p>
        </w:tc>
        <w:tc>
          <w:tcPr>
            <w:tcW w:type="dxa" w:w="20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&lt;1 month</w:t>
            </w:r>
          </w:p>
        </w:tc>
        <w:tc>
          <w:tcPr>
            <w:tcW w:type="dxa" w:w="20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&lt;1 month</w:t>
            </w:r>
          </w:p>
        </w:tc>
        <w:tc>
          <w:tcPr>
            <w:tcW w:type="dxa" w:w="2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&lt;2 months</w:t>
            </w:r>
          </w:p>
        </w:tc>
      </w:tr>
    </w:tbl>
    <w:p>
      <w:pPr>
        <w:spacing w:before="120" w:after="120"/>
      </w:pPr>
      <w:r>
        <w:t xml:space="preserve"/>
      </w:r>
    </w:p>
    <w:p>
      <w:pPr>
        <w:spacing w:before="80" w:after="120"/>
        <w:jc w:val="both"/>
      </w:pPr>
      <w:r>
        <w:rPr>
          <w:rFonts w:ascii="Arial" w:cs="Arial" w:eastAsia="Arial" w:hAnsi="Arial"/>
          <w:color w:val="1E1E2E"/>
          <w:sz w:val="22"/>
          <w:szCs w:val="22"/>
        </w:rPr>
        <w:t xml:space="preserve">The BYOK architecture is the primary driver of the exceptional gross margin profile. Because LLM inference costs are borne by the user's own API key, Robin.ai's marginal cost of serving an additional analysis is extremely low — primarily composed of compute for preprocessing and application logic, not LLM inference.</w:t>
      </w:r>
    </w:p>
    <w:p>
      <w:pPr>
        <w:pStyle w:val="Heading2"/>
        <w:spacing w:before="320" w:after="120"/>
      </w:pPr>
      <w:r>
        <w:rPr>
          <w:rFonts w:ascii="Arial" w:cs="Arial" w:eastAsia="Arial" w:hAnsi="Arial"/>
          <w:b/>
          <w:bCs/>
          <w:color w:val="1E1E2E"/>
          <w:sz w:val="28"/>
          <w:szCs w:val="28"/>
        </w:rPr>
        <w:t xml:space="preserve">8.3  Revenue Growth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280"/>
        <w:gridCol w:w="2400"/>
      </w:tblGrid>
      <w:tr>
        <w:tc>
          <w:tcPr>
            <w:tcW w:type="dxa" w:w="156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Quarter</w:t>
            </w:r>
          </w:p>
        </w:tc>
        <w:tc>
          <w:tcPr>
            <w:tcW w:type="dxa" w:w="156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Users (End)</w:t>
            </w:r>
          </w:p>
        </w:tc>
        <w:tc>
          <w:tcPr>
            <w:tcW w:type="dxa" w:w="156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MRR</w:t>
            </w:r>
          </w:p>
        </w:tc>
        <w:tc>
          <w:tcPr>
            <w:tcW w:type="dxa" w:w="228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ARR Run Rate</w:t>
            </w:r>
          </w:p>
        </w:tc>
        <w:tc>
          <w:tcPr>
            <w:tcW w:type="dxa" w:w="2400"/>
            <w:tcBorders>
              <w:top w:val="single" w:color="DEE4ED" w:sz="1"/>
              <w:left w:val="single" w:color="DEE4ED" w:sz="1"/>
              <w:bottom w:val="single" w:color="DEE4ED" w:sz="1"/>
              <w:right w:val="single" w:color="DEE4ED" w:sz="1"/>
            </w:tcBorders>
            <w:shd w:fill="0F2D59" w:val="clear"/>
            <w:tcMar>
              <w:top w:type="dxa" w:w="100"/>
              <w:left w:type="dxa" w:w="150"/>
              <w:bottom w:type="dxa" w:w="100"/>
              <w:right w:type="dxa" w:w="150"/>
            </w:tcMar>
          </w:tcPr>
          <w:p>
            <w:pPr>
              <w:spacing w:before="40" w:after="40"/>
            </w:pPr>
            <w:r>
              <w:rPr>
                <w:rFonts w:ascii="Arial" w:cs="Arial" w:eastAsia="Arial" w:hAnsi="Arial"/>
                <w:b/>
                <w:bCs/>
                <w:color w:val="FFFFFF"/>
                <w:sz w:val="20"/>
                <w:szCs w:val="20"/>
              </w:rPr>
              <w:t xml:space="preserve">Net Revenue Retention</w:t>
            </w:r>
          </w:p>
        </w:tc>
      </w:tr>
      <w:tr>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Q1 (Private Beta)</w:t>
            </w:r>
          </w:p>
        </w:tc>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50</w:t>
            </w:r>
          </w:p>
        </w:tc>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$0 (free)</w:t>
            </w:r>
          </w:p>
        </w:tc>
        <w:tc>
          <w:tcPr>
            <w:tcW w:type="dxa" w:w="228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$0</w:t>
            </w:r>
          </w:p>
        </w:tc>
        <w:tc>
          <w:tcPr>
            <w:tcW w:type="dxa" w:w="24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w:t>
            </w:r>
          </w:p>
        </w:tc>
      </w:tr>
      <w:tr>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Q2 (Invite Beta)</w:t>
            </w:r>
          </w:p>
        </w:tc>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500</w:t>
            </w:r>
          </w:p>
        </w:tc>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$35,000</w:t>
            </w:r>
          </w:p>
        </w:tc>
        <w:tc>
          <w:tcPr>
            <w:tcW w:type="dxa" w:w="228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$420,000</w:t>
            </w:r>
          </w:p>
        </w:tc>
        <w:tc>
          <w:tcPr>
            <w:tcW w:type="dxa" w:w="24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w:t>
            </w:r>
          </w:p>
        </w:tc>
      </w:tr>
      <w:tr>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Q3 (Public Launch)</w:t>
            </w:r>
          </w:p>
        </w:tc>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1,500</w:t>
            </w:r>
          </w:p>
        </w:tc>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$105,000</w:t>
            </w:r>
          </w:p>
        </w:tc>
        <w:tc>
          <w:tcPr>
            <w:tcW w:type="dxa" w:w="228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$1.26M</w:t>
            </w:r>
          </w:p>
        </w:tc>
        <w:tc>
          <w:tcPr>
            <w:tcW w:type="dxa" w:w="24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110%+</w:t>
            </w:r>
          </w:p>
        </w:tc>
      </w:tr>
      <w:tr>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Q4</w:t>
            </w:r>
          </w:p>
        </w:tc>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3,000</w:t>
            </w:r>
          </w:p>
        </w:tc>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$210,000</w:t>
            </w:r>
          </w:p>
        </w:tc>
        <w:tc>
          <w:tcPr>
            <w:tcW w:type="dxa" w:w="228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$2.52M</w:t>
            </w:r>
          </w:p>
        </w:tc>
        <w:tc>
          <w:tcPr>
            <w:tcW w:type="dxa" w:w="24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115%+</w:t>
            </w:r>
          </w:p>
        </w:tc>
      </w:tr>
      <w:tr>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Year 2 End</w:t>
            </w:r>
          </w:p>
        </w:tc>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10,000</w:t>
            </w:r>
          </w:p>
        </w:tc>
        <w:tc>
          <w:tcPr>
            <w:tcW w:type="dxa" w:w="156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$750,000</w:t>
            </w:r>
          </w:p>
        </w:tc>
        <w:tc>
          <w:tcPr>
            <w:tcW w:type="dxa" w:w="228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$9M</w:t>
            </w:r>
          </w:p>
        </w:tc>
        <w:tc>
          <w:tcPr>
            <w:tcW w:type="dxa" w:w="2400"/>
            <w:tcBorders>
              <w:top w:val="single" w:color="DEE4ED" w:sz="1"/>
              <w:left w:val="single" w:color="DEE4ED" w:sz="1"/>
              <w:bottom w:val="single" w:color="DEE4ED" w:sz="1"/>
              <w:right w:val="single" w:color="DEE4ED" w:sz="1"/>
            </w:tcBorders>
            <w:shd w:fill="F4F6F9"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120%+</w:t>
            </w:r>
          </w:p>
        </w:tc>
      </w:tr>
      <w:tr>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Year 3 End</w:t>
            </w:r>
          </w:p>
        </w:tc>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35,000</w:t>
            </w:r>
          </w:p>
        </w:tc>
        <w:tc>
          <w:tcPr>
            <w:tcW w:type="dxa" w:w="156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$2,800,000</w:t>
            </w:r>
          </w:p>
        </w:tc>
        <w:tc>
          <w:tcPr>
            <w:tcW w:type="dxa" w:w="228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$33.6M</w:t>
            </w:r>
          </w:p>
        </w:tc>
        <w:tc>
          <w:tcPr>
            <w:tcW w:type="dxa" w:w="2400"/>
            <w:tcBorders>
              <w:top w:val="single" w:color="DEE4ED" w:sz="1"/>
              <w:left w:val="single" w:color="DEE4ED" w:sz="1"/>
              <w:bottom w:val="single" w:color="DEE4ED" w:sz="1"/>
              <w:right w:val="single" w:color="DEE4ED" w:sz="1"/>
            </w:tcBorders>
            <w:shd w:fill="FFFFFF" w:val="clear"/>
            <w:tcMar>
              <w:top w:type="dxa" w:w="100"/>
              <w:left w:type="dxa" w:w="150"/>
              <w:bottom w:type="dxa" w:w="100"/>
              <w:right w:type="dxa" w:w="150"/>
            </w:tcMar>
          </w:tcPr>
          <w:p>
            <w:pPr>
              <w:spacing w:before="40" w:after="40"/>
            </w:pPr>
            <w:r>
              <w:rPr>
                <w:rFonts w:ascii="Arial" w:cs="Arial" w:eastAsia="Arial" w:hAnsi="Arial"/>
                <w:b w:val="false"/>
                <w:bCs w:val="false"/>
                <w:color w:val="1E1E2E"/>
                <w:sz w:val="20"/>
                <w:szCs w:val="20"/>
              </w:rPr>
              <w:t xml:space="preserve">125%+</w:t>
            </w:r>
          </w:p>
        </w:tc>
      </w:tr>
    </w:tbl>
    <w:p>
      <w:r>
        <w:br w:type="page"/>
      </w:r>
    </w:p>
    <w:p>
      <w:pPr>
        <w:spacing w:before="200" w:after="80"/>
      </w:pPr>
      <w:r>
        <w:rPr>
          <w:rFonts w:ascii="Arial" w:cs="Arial" w:eastAsia="Arial" w:hAnsi="Arial"/>
          <w:b/>
          <w:bCs/>
          <w:color w:val="E8501A"/>
          <w:spacing w:val="60"/>
          <w:sz w:val="18"/>
          <w:szCs w:val="18"/>
        </w:rPr>
        <w:t xml:space="preserve">PART IX</w:t>
      </w:r>
    </w:p>
    <w:p>
      <w:pPr>
        <w:pStyle w:val="Heading1"/>
        <w:pBdr>
          <w:bottom w:val="single" w:color="E8501A" w:sz="4" w:space="4"/>
        </w:pBdr>
        <w:spacing w:before="400" w:after="160"/>
      </w:pPr>
      <w:r>
        <w:rPr>
          <w:rFonts w:ascii="Arial" w:cs="Arial" w:eastAsia="Arial" w:hAnsi="Arial"/>
          <w:b/>
          <w:bCs/>
          <w:color w:val="0F2D59"/>
          <w:sz w:val="36"/>
          <w:szCs w:val="36"/>
        </w:rPr>
        <w:t xml:space="preserve">Research Agenda: What the Team Must Know</w:t>
      </w:r>
    </w:p>
    <w:p>
      <w:pPr>
        <w:spacing w:before="120" w:after="160"/>
        <w:jc w:val="both"/>
      </w:pPr>
      <w:r>
        <w:rPr>
          <w:rFonts w:ascii="Arial" w:cs="Arial" w:eastAsia="Arial" w:hAnsi="Arial"/>
          <w:i/>
          <w:iCs/>
          <w:color w:val="1E1E2E"/>
          <w:sz w:val="24"/>
          <w:szCs w:val="24"/>
        </w:rPr>
        <w:t xml:space="preserve">Building a category-defining product requires the team to have genuine expertise, not just surface familiarity, with the domains that underpin Robin.ai's value proposition. This section identifies the essential research areas and the specific questions within each that the team should be able to answer with authority.</w:t>
      </w:r>
    </w:p>
    <w:p>
      <w:pPr>
        <w:pStyle w:val="Heading2"/>
        <w:spacing w:before="320" w:after="120"/>
      </w:pPr>
      <w:r>
        <w:rPr>
          <w:rFonts w:ascii="Arial" w:cs="Arial" w:eastAsia="Arial" w:hAnsi="Arial"/>
          <w:b/>
          <w:bCs/>
          <w:color w:val="1E1E2E"/>
          <w:sz w:val="28"/>
          <w:szCs w:val="28"/>
        </w:rPr>
        <w:t xml:space="preserve">9.1  Behavioral Decision Science</w:t>
      </w:r>
    </w:p>
    <w:p>
      <w:pPr>
        <w:spacing w:before="80" w:after="120"/>
        <w:jc w:val="both"/>
      </w:pPr>
      <w:r>
        <w:rPr>
          <w:rFonts w:ascii="Arial" w:cs="Arial" w:eastAsia="Arial" w:hAnsi="Arial"/>
          <w:color w:val="1E1E2E"/>
          <w:sz w:val="22"/>
          <w:szCs w:val="22"/>
        </w:rPr>
        <w:t xml:space="preserve">Robin.ai's core value proposition rests on well-established findings from behavioral economics and cognitive psychology. The team must have working knowledge of:</w:t>
      </w:r>
    </w:p>
    <w:p>
      <w:pPr>
        <w:pStyle w:val="ListParagraph"/>
        <w:numPr>
          <w:ilvl w:val="0"/>
          <w:numId w:val="2"/>
        </w:numPr>
        <w:spacing w:before="60" w:after="60"/>
      </w:pPr>
      <w:r>
        <w:rPr>
          <w:rFonts w:ascii="Arial" w:cs="Arial" w:eastAsia="Arial" w:hAnsi="Arial"/>
          <w:b/>
          <w:bCs/>
          <w:color w:val="0F2D59"/>
          <w:sz w:val="22"/>
          <w:szCs w:val="22"/>
        </w:rPr>
        <w:t xml:space="preserve">Dual Process Theory (Kahneman): </w:t>
      </w:r>
      <w:r>
        <w:rPr>
          <w:rFonts w:ascii="Arial" w:cs="Arial" w:eastAsia="Arial" w:hAnsi="Arial"/>
          <w:color w:val="1E1E2E"/>
          <w:sz w:val="22"/>
          <w:szCs w:val="22"/>
        </w:rPr>
        <w:t xml:space="preserve">System 1 (fast, intuitive) vs. System 2 (slow, analytical) decision-making. Robin.ai explicitly supports System 2 processing in high-stakes contexts. Every feature should be rationalized against this framework.</w:t>
      </w:r>
    </w:p>
    <w:p>
      <w:pPr>
        <w:pStyle w:val="ListParagraph"/>
        <w:numPr>
          <w:ilvl w:val="0"/>
          <w:numId w:val="2"/>
        </w:numPr>
        <w:spacing w:before="60" w:after="60"/>
      </w:pPr>
      <w:r>
        <w:rPr>
          <w:rFonts w:ascii="Arial" w:cs="Arial" w:eastAsia="Arial" w:hAnsi="Arial"/>
          <w:b/>
          <w:bCs/>
          <w:color w:val="0F2D59"/>
          <w:sz w:val="22"/>
          <w:szCs w:val="22"/>
        </w:rPr>
        <w:t xml:space="preserve">Confirmation Bias: </w:t>
      </w:r>
      <w:r>
        <w:rPr>
          <w:rFonts w:ascii="Arial" w:cs="Arial" w:eastAsia="Arial" w:hAnsi="Arial"/>
          <w:color w:val="1E1E2E"/>
          <w:sz w:val="22"/>
          <w:szCs w:val="22"/>
        </w:rPr>
        <w:t xml:space="preserve">The tendency to seek out information that confirms pre-existing beliefs. The GRUE Blind Spot detector is explicitly designed to counteract confirmation bias by surfacing information that the decision-maker did not seek out.</w:t>
      </w:r>
    </w:p>
    <w:p>
      <w:pPr>
        <w:pStyle w:val="ListParagraph"/>
        <w:numPr>
          <w:ilvl w:val="0"/>
          <w:numId w:val="2"/>
        </w:numPr>
        <w:spacing w:before="60" w:after="60"/>
      </w:pPr>
      <w:r>
        <w:rPr>
          <w:rFonts w:ascii="Arial" w:cs="Arial" w:eastAsia="Arial" w:hAnsi="Arial"/>
          <w:b/>
          <w:bCs/>
          <w:color w:val="0F2D59"/>
          <w:sz w:val="22"/>
          <w:szCs w:val="22"/>
        </w:rPr>
        <w:t xml:space="preserve">Narrative Bias: </w:t>
      </w:r>
      <w:r>
        <w:rPr>
          <w:rFonts w:ascii="Arial" w:cs="Arial" w:eastAsia="Arial" w:hAnsi="Arial"/>
          <w:color w:val="1E1E2E"/>
          <w:sz w:val="22"/>
          <w:szCs w:val="22"/>
        </w:rPr>
        <w:t xml:space="preserve">The human tendency to assign higher credibility to information presented as a coherent story than to the same information presented as raw data. The AI Polish Detector addresses this directly.</w:t>
      </w:r>
    </w:p>
    <w:p>
      <w:pPr>
        <w:pStyle w:val="ListParagraph"/>
        <w:numPr>
          <w:ilvl w:val="0"/>
          <w:numId w:val="2"/>
        </w:numPr>
        <w:spacing w:before="60" w:after="60"/>
      </w:pPr>
      <w:r>
        <w:rPr>
          <w:rFonts w:ascii="Arial" w:cs="Arial" w:eastAsia="Arial" w:hAnsi="Arial"/>
          <w:b/>
          <w:bCs/>
          <w:color w:val="0F2D59"/>
          <w:sz w:val="22"/>
          <w:szCs w:val="22"/>
        </w:rPr>
        <w:t xml:space="preserve">Information Overload (Hick's Law): </w:t>
      </w:r>
      <w:r>
        <w:rPr>
          <w:rFonts w:ascii="Arial" w:cs="Arial" w:eastAsia="Arial" w:hAnsi="Arial"/>
          <w:color w:val="1E1E2E"/>
          <w:sz w:val="22"/>
          <w:szCs w:val="22"/>
        </w:rPr>
        <w:t xml:space="preserve">The empirical finding that decision quality degrades as the number of options and the volume of information presented increases beyond a threshold. Robin.ai's 'cognitive firewall' positioning is grounded in this literature.</w:t>
      </w:r>
    </w:p>
    <w:p>
      <w:pPr>
        <w:pStyle w:val="ListParagraph"/>
        <w:numPr>
          <w:ilvl w:val="0"/>
          <w:numId w:val="2"/>
        </w:numPr>
        <w:spacing w:before="60" w:after="60"/>
      </w:pPr>
      <w:r>
        <w:rPr>
          <w:rFonts w:ascii="Arial" w:cs="Arial" w:eastAsia="Arial" w:hAnsi="Arial"/>
          <w:b/>
          <w:bCs/>
          <w:color w:val="0F2D59"/>
          <w:sz w:val="22"/>
          <w:szCs w:val="22"/>
        </w:rPr>
        <w:t xml:space="preserve">Sensemaking Theory (Weick): </w:t>
      </w:r>
      <w:r>
        <w:rPr>
          <w:rFonts w:ascii="Arial" w:cs="Arial" w:eastAsia="Arial" w:hAnsi="Arial"/>
          <w:color w:val="1E1E2E"/>
          <w:sz w:val="22"/>
          <w:szCs w:val="22"/>
        </w:rPr>
        <w:t xml:space="preserve">The process by which people give meaning to their collective experiences. Understanding how high-performers construct narratives from meeting interactions is essential for designing the Conflict Reporter's output.</w:t>
      </w:r>
    </w:p>
    <w:p>
      <w:pPr>
        <w:pStyle w:val="Heading2"/>
        <w:spacing w:before="320" w:after="120"/>
      </w:pPr>
      <w:r>
        <w:rPr>
          <w:rFonts w:ascii="Arial" w:cs="Arial" w:eastAsia="Arial" w:hAnsi="Arial"/>
          <w:b/>
          <w:bCs/>
          <w:color w:val="1E1E2E"/>
          <w:sz w:val="28"/>
          <w:szCs w:val="28"/>
        </w:rPr>
        <w:t xml:space="preserve">9.2  The VC Decision Process: Research Foundations</w:t>
      </w:r>
    </w:p>
    <w:p>
      <w:pPr>
        <w:spacing w:before="80" w:after="120"/>
        <w:jc w:val="both"/>
      </w:pPr>
      <w:r>
        <w:rPr>
          <w:rFonts w:ascii="Arial" w:cs="Arial" w:eastAsia="Arial" w:hAnsi="Arial"/>
          <w:color w:val="1E1E2E"/>
          <w:sz w:val="22"/>
          <w:szCs w:val="22"/>
        </w:rPr>
        <w:t xml:space="preserve">The team must understand how investment decisions are actually made — not in theory, but in practice — to design features that integrate naturally into the existing decision workflow:</w:t>
      </w:r>
    </w:p>
    <w:p>
      <w:pPr>
        <w:pStyle w:val="ListParagraph"/>
        <w:numPr>
          <w:ilvl w:val="0"/>
          <w:numId w:val="2"/>
        </w:numPr>
        <w:spacing w:before="60" w:after="60"/>
      </w:pPr>
      <w:r>
        <w:rPr>
          <w:rFonts w:ascii="Arial" w:cs="Arial" w:eastAsia="Arial" w:hAnsi="Arial"/>
          <w:b/>
          <w:bCs/>
          <w:color w:val="0F2D59"/>
          <w:sz w:val="22"/>
          <w:szCs w:val="22"/>
        </w:rPr>
        <w:t xml:space="preserve">Gompers, Gornall, Kaplan, Strebulaev (2020): </w:t>
      </w:r>
      <w:r>
        <w:rPr>
          <w:rFonts w:ascii="Arial" w:cs="Arial" w:eastAsia="Arial" w:hAnsi="Arial"/>
          <w:color w:val="1E1E2E"/>
          <w:sz w:val="22"/>
          <w:szCs w:val="22"/>
        </w:rPr>
        <w:t xml:space="preserve">Harvard/Stanford research on how VCs make decisions. Key finding: market size and team quality dominate early-stage decisions; financial metrics dominate growth-stage. GRUE framework calibration should reflect stage-specific weighting.</w:t>
      </w:r>
    </w:p>
    <w:p>
      <w:pPr>
        <w:pStyle w:val="ListParagraph"/>
        <w:numPr>
          <w:ilvl w:val="0"/>
          <w:numId w:val="2"/>
        </w:numPr>
        <w:spacing w:before="60" w:after="60"/>
      </w:pPr>
      <w:r>
        <w:rPr>
          <w:rFonts w:ascii="Arial" w:cs="Arial" w:eastAsia="Arial" w:hAnsi="Arial"/>
          <w:b/>
          <w:bCs/>
          <w:color w:val="0F2D59"/>
          <w:sz w:val="22"/>
          <w:szCs w:val="22"/>
        </w:rPr>
        <w:t xml:space="preserve">Kaplan and Lerner (2009): </w:t>
      </w:r>
      <w:r>
        <w:rPr>
          <w:rFonts w:ascii="Arial" w:cs="Arial" w:eastAsia="Arial" w:hAnsi="Arial"/>
          <w:color w:val="1E1E2E"/>
          <w:sz w:val="22"/>
          <w:szCs w:val="22"/>
        </w:rPr>
        <w:t xml:space="preserve">Research on VC industry evolution and selection. Key finding: persistence of returns is more correlated with partner-level judgment than with fund strategy. This supports the individual user (partner) as the primary unit of analysis.</w:t>
      </w:r>
    </w:p>
    <w:p>
      <w:pPr>
        <w:pStyle w:val="ListParagraph"/>
        <w:numPr>
          <w:ilvl w:val="0"/>
          <w:numId w:val="2"/>
        </w:numPr>
        <w:spacing w:before="60" w:after="60"/>
      </w:pPr>
      <w:r>
        <w:rPr>
          <w:rFonts w:ascii="Arial" w:cs="Arial" w:eastAsia="Arial" w:hAnsi="Arial"/>
          <w:b/>
          <w:bCs/>
          <w:color w:val="0F2D59"/>
          <w:sz w:val="22"/>
          <w:szCs w:val="22"/>
        </w:rPr>
        <w:t xml:space="preserve">MacMillan, Siegel, SubbaNarasimha (1985): </w:t>
      </w:r>
      <w:r>
        <w:rPr>
          <w:rFonts w:ascii="Arial" w:cs="Arial" w:eastAsia="Arial" w:hAnsi="Arial"/>
          <w:color w:val="1E1E2E"/>
          <w:sz w:val="22"/>
          <w:szCs w:val="22"/>
        </w:rPr>
        <w:t xml:space="preserve">Classic research on VC evaluation criteria. Still highly relevant for understanding the GRUE framework's foundational metrics.</w:t>
      </w:r>
    </w:p>
    <w:p>
      <w:pPr>
        <w:pStyle w:val="ListParagraph"/>
        <w:numPr>
          <w:ilvl w:val="0"/>
          <w:numId w:val="2"/>
        </w:numPr>
        <w:spacing w:before="60" w:after="60"/>
      </w:pPr>
      <w:r>
        <w:rPr>
          <w:rFonts w:ascii="Arial" w:cs="Arial" w:eastAsia="Arial" w:hAnsi="Arial"/>
          <w:b/>
          <w:bCs/>
          <w:color w:val="0F2D59"/>
          <w:sz w:val="22"/>
          <w:szCs w:val="22"/>
        </w:rPr>
        <w:t xml:space="preserve">Strebulaev &amp; Mahajan (2021): </w:t>
      </w:r>
      <w:r>
        <w:rPr>
          <w:rFonts w:ascii="Arial" w:cs="Arial" w:eastAsia="Arial" w:hAnsi="Arial"/>
          <w:color w:val="1E1E2E"/>
          <w:sz w:val="22"/>
          <w:szCs w:val="22"/>
        </w:rPr>
        <w:t xml:space="preserve">'How Do Venture Capitalists Make Decisions?' — The most rigorous modern empirical analysis. Required reading for the entire founding team.</w:t>
      </w:r>
    </w:p>
    <w:p>
      <w:pPr>
        <w:pStyle w:val="Heading2"/>
        <w:spacing w:before="320" w:after="120"/>
      </w:pPr>
      <w:r>
        <w:rPr>
          <w:rFonts w:ascii="Arial" w:cs="Arial" w:eastAsia="Arial" w:hAnsi="Arial"/>
          <w:b/>
          <w:bCs/>
          <w:color w:val="1E1E2E"/>
          <w:sz w:val="28"/>
          <w:szCs w:val="28"/>
        </w:rPr>
        <w:t xml:space="preserve">9.3  Large Language Model Architecture (Applied)</w:t>
      </w:r>
    </w:p>
    <w:p>
      <w:pPr>
        <w:spacing w:before="80" w:after="120"/>
        <w:jc w:val="both"/>
      </w:pPr>
      <w:r>
        <w:rPr>
          <w:rFonts w:ascii="Arial" w:cs="Arial" w:eastAsia="Arial" w:hAnsi="Arial"/>
          <w:color w:val="1E1E2E"/>
          <w:sz w:val="22"/>
          <w:szCs w:val="22"/>
        </w:rPr>
        <w:t xml:space="preserve">The team does not need to be LLM researchers, but must have working fluency in the following applied LLM concepts:</w:t>
      </w:r>
    </w:p>
    <w:p>
      <w:pPr>
        <w:pStyle w:val="ListParagraph"/>
        <w:numPr>
          <w:ilvl w:val="0"/>
          <w:numId w:val="2"/>
        </w:numPr>
        <w:spacing w:before="60" w:after="60"/>
      </w:pPr>
      <w:r>
        <w:rPr>
          <w:rFonts w:ascii="Arial" w:cs="Arial" w:eastAsia="Arial" w:hAnsi="Arial"/>
          <w:b/>
          <w:bCs/>
          <w:color w:val="0F2D59"/>
          <w:sz w:val="22"/>
          <w:szCs w:val="22"/>
        </w:rPr>
        <w:t xml:space="preserve">Retrieval-Augmented Generation (RAG): </w:t>
      </w:r>
      <w:r>
        <w:rPr>
          <w:rFonts w:ascii="Arial" w:cs="Arial" w:eastAsia="Arial" w:hAnsi="Arial"/>
          <w:color w:val="1E1E2E"/>
          <w:sz w:val="22"/>
          <w:szCs w:val="22"/>
        </w:rPr>
        <w:t xml:space="preserve">The architecture that allows LLMs to ground responses in specific source documents rather than generating from parametric memory. Robin.ai's Evidence Log system is fundamentally a RAG architecture applied to conversation analysis.</w:t>
      </w:r>
    </w:p>
    <w:p>
      <w:pPr>
        <w:pStyle w:val="ListParagraph"/>
        <w:numPr>
          <w:ilvl w:val="0"/>
          <w:numId w:val="2"/>
        </w:numPr>
        <w:spacing w:before="60" w:after="60"/>
      </w:pPr>
      <w:r>
        <w:rPr>
          <w:rFonts w:ascii="Arial" w:cs="Arial" w:eastAsia="Arial" w:hAnsi="Arial"/>
          <w:b/>
          <w:bCs/>
          <w:color w:val="0F2D59"/>
          <w:sz w:val="22"/>
          <w:szCs w:val="22"/>
        </w:rPr>
        <w:t xml:space="preserve">Claim Extraction and Hallucination Prevention: </w:t>
      </w:r>
      <w:r>
        <w:rPr>
          <w:rFonts w:ascii="Arial" w:cs="Arial" w:eastAsia="Arial" w:hAnsi="Arial"/>
          <w:color w:val="1E1E2E"/>
          <w:sz w:val="22"/>
          <w:szCs w:val="22"/>
        </w:rPr>
        <w:t xml:space="preserve">The technical challenge of extracting factual claims from conversational text and anchoring them to source quotations. Key papers: 'FACTSCORE' (Min et al., 2023) and 'SelfCheckGPT' (Manakul et al., 2023).</w:t>
      </w:r>
    </w:p>
    <w:p>
      <w:pPr>
        <w:pStyle w:val="ListParagraph"/>
        <w:numPr>
          <w:ilvl w:val="0"/>
          <w:numId w:val="2"/>
        </w:numPr>
        <w:spacing w:before="60" w:after="60"/>
      </w:pPr>
      <w:r>
        <w:rPr>
          <w:rFonts w:ascii="Arial" w:cs="Arial" w:eastAsia="Arial" w:hAnsi="Arial"/>
          <w:b/>
          <w:bCs/>
          <w:color w:val="0F2D59"/>
          <w:sz w:val="22"/>
          <w:szCs w:val="22"/>
        </w:rPr>
        <w:t xml:space="preserve">Prompt Engineering for Analytical Tasks: </w:t>
      </w:r>
      <w:r>
        <w:rPr>
          <w:rFonts w:ascii="Arial" w:cs="Arial" w:eastAsia="Arial" w:hAnsi="Arial"/>
          <w:color w:val="1E1E2E"/>
          <w:sz w:val="22"/>
          <w:szCs w:val="22"/>
        </w:rPr>
        <w:t xml:space="preserve">The team must be expert practitioners of structured prompt design for analytical tasks, including chain-of-thought prompting, few-shot examples for classification tasks, and output format specification.</w:t>
      </w:r>
    </w:p>
    <w:p>
      <w:pPr>
        <w:pStyle w:val="ListParagraph"/>
        <w:numPr>
          <w:ilvl w:val="0"/>
          <w:numId w:val="2"/>
        </w:numPr>
        <w:spacing w:before="60" w:after="60"/>
      </w:pPr>
      <w:r>
        <w:rPr>
          <w:rFonts w:ascii="Arial" w:cs="Arial" w:eastAsia="Arial" w:hAnsi="Arial"/>
          <w:b/>
          <w:bCs/>
          <w:color w:val="0F2D59"/>
          <w:sz w:val="22"/>
          <w:szCs w:val="22"/>
        </w:rPr>
        <w:t xml:space="preserve">LLM Evaluation Frameworks: </w:t>
      </w:r>
      <w:r>
        <w:rPr>
          <w:rFonts w:ascii="Arial" w:cs="Arial" w:eastAsia="Arial" w:hAnsi="Arial"/>
          <w:color w:val="1E1E2E"/>
          <w:sz w:val="22"/>
          <w:szCs w:val="22"/>
        </w:rPr>
        <w:t xml:space="preserve">Understanding how to rigorously evaluate LLM output quality — particularly for the subjective but high-stakes outputs Robin.ai produces (conflict severity ratings, conviction scores). Key frameworks: RAGAS, LLM-as-judge, human evaluation protocols.</w:t>
      </w:r>
    </w:p>
    <w:p>
      <w:pPr>
        <w:pStyle w:val="ListParagraph"/>
        <w:numPr>
          <w:ilvl w:val="0"/>
          <w:numId w:val="2"/>
        </w:numPr>
        <w:spacing w:before="60" w:after="60"/>
      </w:pPr>
      <w:r>
        <w:rPr>
          <w:rFonts w:ascii="Arial" w:cs="Arial" w:eastAsia="Arial" w:hAnsi="Arial"/>
          <w:b/>
          <w:bCs/>
          <w:color w:val="0F2D59"/>
          <w:sz w:val="22"/>
          <w:szCs w:val="22"/>
        </w:rPr>
        <w:t xml:space="preserve">Semantic Similarity and Embedding Models: </w:t>
      </w:r>
      <w:r>
        <w:rPr>
          <w:rFonts w:ascii="Arial" w:cs="Arial" w:eastAsia="Arial" w:hAnsi="Arial"/>
          <w:color w:val="1E1E2E"/>
          <w:sz w:val="22"/>
          <w:szCs w:val="22"/>
        </w:rPr>
        <w:t xml:space="preserve">The mathematical foundations of how LLMs compare meaning across text segments. This is the core technology underlying the Conflict Reporter's cross-stream comparison capability.</w:t>
      </w:r>
    </w:p>
    <w:p>
      <w:pPr>
        <w:pStyle w:val="Heading2"/>
        <w:spacing w:before="320" w:after="120"/>
      </w:pPr>
      <w:r>
        <w:rPr>
          <w:rFonts w:ascii="Arial" w:cs="Arial" w:eastAsia="Arial" w:hAnsi="Arial"/>
          <w:b/>
          <w:bCs/>
          <w:color w:val="1E1E2E"/>
          <w:sz w:val="28"/>
          <w:szCs w:val="28"/>
        </w:rPr>
        <w:t xml:space="preserve">9.4  The Investor Tech Ecosystem</w:t>
      </w:r>
    </w:p>
    <w:p>
      <w:pPr>
        <w:spacing w:before="80" w:after="120"/>
        <w:jc w:val="both"/>
      </w:pPr>
      <w:r>
        <w:rPr>
          <w:rFonts w:ascii="Arial" w:cs="Arial" w:eastAsia="Arial" w:hAnsi="Arial"/>
          <w:color w:val="1E1E2E"/>
          <w:sz w:val="22"/>
          <w:szCs w:val="22"/>
        </w:rPr>
        <w:t xml:space="preserve">Robin.ai must have expert-level knowledge of every tool in the modern investor's workflow:</w:t>
      </w:r>
    </w:p>
    <w:p>
      <w:pPr>
        <w:pStyle w:val="ListParagraph"/>
        <w:numPr>
          <w:ilvl w:val="0"/>
          <w:numId w:val="2"/>
        </w:numPr>
        <w:spacing w:before="60" w:after="60"/>
      </w:pPr>
      <w:r>
        <w:rPr>
          <w:rFonts w:ascii="Arial" w:cs="Arial" w:eastAsia="Arial" w:hAnsi="Arial"/>
          <w:b/>
          <w:bCs/>
          <w:color w:val="0F2D59"/>
          <w:sz w:val="22"/>
          <w:szCs w:val="22"/>
        </w:rPr>
        <w:t xml:space="preserve">Meeting Intelligence: </w:t>
      </w:r>
      <w:r>
        <w:rPr>
          <w:rFonts w:ascii="Arial" w:cs="Arial" w:eastAsia="Arial" w:hAnsi="Arial"/>
          <w:color w:val="1E1E2E"/>
          <w:sz w:val="22"/>
          <w:szCs w:val="22"/>
        </w:rPr>
        <w:t xml:space="preserve">Granola (market leader for VC; understand their API, their data model, their user experience philosophy), Otter.ai (mass market; different technical architecture), Fireflies (SMB-focused), Fathom (video-centric).</w:t>
      </w:r>
    </w:p>
    <w:p>
      <w:pPr>
        <w:pStyle w:val="ListParagraph"/>
        <w:numPr>
          <w:ilvl w:val="0"/>
          <w:numId w:val="2"/>
        </w:numPr>
        <w:spacing w:before="60" w:after="60"/>
      </w:pPr>
      <w:r>
        <w:rPr>
          <w:rFonts w:ascii="Arial" w:cs="Arial" w:eastAsia="Arial" w:hAnsi="Arial"/>
          <w:b/>
          <w:bCs/>
          <w:color w:val="0F2D59"/>
          <w:sz w:val="22"/>
          <w:szCs w:val="22"/>
        </w:rPr>
        <w:t xml:space="preserve">Voice-to-Text: </w:t>
      </w:r>
      <w:r>
        <w:rPr>
          <w:rFonts w:ascii="Arial" w:cs="Arial" w:eastAsia="Arial" w:hAnsi="Arial"/>
          <w:color w:val="1E1E2E"/>
          <w:sz w:val="22"/>
          <w:szCs w:val="22"/>
        </w:rPr>
        <w:t xml:space="preserve">Wispr Flow (the target integration partner; understand their user base, pricing, and technical architecture thoroughly), Superhuman Voice, Apple Intelligence dictation, Google Voice Typing.</w:t>
      </w:r>
    </w:p>
    <w:p>
      <w:pPr>
        <w:pStyle w:val="ListParagraph"/>
        <w:numPr>
          <w:ilvl w:val="0"/>
          <w:numId w:val="2"/>
        </w:numPr>
        <w:spacing w:before="60" w:after="60"/>
      </w:pPr>
      <w:r>
        <w:rPr>
          <w:rFonts w:ascii="Arial" w:cs="Arial" w:eastAsia="Arial" w:hAnsi="Arial"/>
          <w:b/>
          <w:bCs/>
          <w:color w:val="0F2D59"/>
          <w:sz w:val="22"/>
          <w:szCs w:val="22"/>
        </w:rPr>
        <w:t xml:space="preserve">Investor CRM: </w:t>
      </w:r>
      <w:r>
        <w:rPr>
          <w:rFonts w:ascii="Arial" w:cs="Arial" w:eastAsia="Arial" w:hAnsi="Arial"/>
          <w:color w:val="1E1E2E"/>
          <w:sz w:val="22"/>
          <w:szCs w:val="22"/>
        </w:rPr>
        <w:t xml:space="preserve">Affinity (the market leader; relationship intelligence is complementary to Robin.ai), DealCloud (enterprise; potential later integration target), Attio (emerging; modern architecture, growing VC adoption).</w:t>
      </w:r>
    </w:p>
    <w:p>
      <w:pPr>
        <w:pStyle w:val="ListParagraph"/>
        <w:numPr>
          <w:ilvl w:val="0"/>
          <w:numId w:val="2"/>
        </w:numPr>
        <w:spacing w:before="60" w:after="60"/>
      </w:pPr>
      <w:r>
        <w:rPr>
          <w:rFonts w:ascii="Arial" w:cs="Arial" w:eastAsia="Arial" w:hAnsi="Arial"/>
          <w:b/>
          <w:bCs/>
          <w:color w:val="0F2D59"/>
          <w:sz w:val="22"/>
          <w:szCs w:val="22"/>
        </w:rPr>
        <w:t xml:space="preserve">Data Intelligence: </w:t>
      </w:r>
      <w:r>
        <w:rPr>
          <w:rFonts w:ascii="Arial" w:cs="Arial" w:eastAsia="Arial" w:hAnsi="Arial"/>
          <w:color w:val="1E1E2E"/>
          <w:sz w:val="22"/>
          <w:szCs w:val="22"/>
        </w:rPr>
        <w:t xml:space="preserve">Grata (private company search; used for sourcing), Harmonic (signal-based company discovery), Crunchbase and PitchBook (standard reference data), LinkedIn Sales Navigator (relationship mapping).</w:t>
      </w:r>
    </w:p>
    <w:p>
      <w:pPr>
        <w:pStyle w:val="ListParagraph"/>
        <w:numPr>
          <w:ilvl w:val="0"/>
          <w:numId w:val="2"/>
        </w:numPr>
        <w:spacing w:before="60" w:after="60"/>
      </w:pPr>
      <w:r>
        <w:rPr>
          <w:rFonts w:ascii="Arial" w:cs="Arial" w:eastAsia="Arial" w:hAnsi="Arial"/>
          <w:b/>
          <w:bCs/>
          <w:color w:val="0F2D59"/>
          <w:sz w:val="22"/>
          <w:szCs w:val="22"/>
        </w:rPr>
        <w:t xml:space="preserve">Diligence Management: </w:t>
      </w:r>
      <w:r>
        <w:rPr>
          <w:rFonts w:ascii="Arial" w:cs="Arial" w:eastAsia="Arial" w:hAnsi="Arial"/>
          <w:color w:val="1E1E2E"/>
          <w:sz w:val="22"/>
          <w:szCs w:val="22"/>
        </w:rPr>
        <w:t xml:space="preserve">Notion (ubiquitous workspace; primary export target for Robin.ai outputs), Airtable (structured deal tracking), Google Workspace (universal), Superhuman (email; key communication context layer).</w:t>
      </w:r>
    </w:p>
    <w:p>
      <w:pPr>
        <w:pStyle w:val="Heading2"/>
        <w:spacing w:before="320" w:after="120"/>
      </w:pPr>
      <w:r>
        <w:rPr>
          <w:rFonts w:ascii="Arial" w:cs="Arial" w:eastAsia="Arial" w:hAnsi="Arial"/>
          <w:b/>
          <w:bCs/>
          <w:color w:val="1E1E2E"/>
          <w:sz w:val="28"/>
          <w:szCs w:val="28"/>
        </w:rPr>
        <w:t xml:space="preserve">9.5  Regulatory and Legal Landscape</w:t>
      </w:r>
    </w:p>
    <w:p>
      <w:pPr>
        <w:spacing w:before="80" w:after="120"/>
        <w:jc w:val="both"/>
      </w:pPr>
      <w:r>
        <w:rPr>
          <w:rFonts w:ascii="Arial" w:cs="Arial" w:eastAsia="Arial" w:hAnsi="Arial"/>
          <w:color w:val="1E1E2E"/>
          <w:sz w:val="22"/>
          <w:szCs w:val="22"/>
        </w:rPr>
        <w:t xml:space="preserve">Given Robin.ai's data processing model and target user base, the team must understand the following regulatory domains:</w:t>
      </w:r>
    </w:p>
    <w:p>
      <w:pPr>
        <w:pStyle w:val="ListParagraph"/>
        <w:numPr>
          <w:ilvl w:val="0"/>
          <w:numId w:val="2"/>
        </w:numPr>
        <w:spacing w:before="60" w:after="60"/>
      </w:pPr>
      <w:r>
        <w:rPr>
          <w:rFonts w:ascii="Arial" w:cs="Arial" w:eastAsia="Arial" w:hAnsi="Arial"/>
          <w:b/>
          <w:bCs/>
          <w:color w:val="0F2D59"/>
          <w:sz w:val="22"/>
          <w:szCs w:val="22"/>
        </w:rPr>
        <w:t xml:space="preserve">India: DPDP Act 2023: </w:t>
      </w:r>
      <w:r>
        <w:rPr>
          <w:rFonts w:ascii="Arial" w:cs="Arial" w:eastAsia="Arial" w:hAnsi="Arial"/>
          <w:color w:val="1E1E2E"/>
          <w:sz w:val="22"/>
          <w:szCs w:val="22"/>
        </w:rPr>
        <w:t xml:space="preserve">India's Digital Personal Data Protection Act imposes consent requirements on personal data processing. The BYOK architecture is a significant compliance advantage — Robin.ai processes data in the user's own API boundary, reducing Robin.ai's data processor obligations.</w:t>
      </w:r>
    </w:p>
    <w:p>
      <w:pPr>
        <w:pStyle w:val="ListParagraph"/>
        <w:numPr>
          <w:ilvl w:val="0"/>
          <w:numId w:val="2"/>
        </w:numPr>
        <w:spacing w:before="60" w:after="60"/>
      </w:pPr>
      <w:r>
        <w:rPr>
          <w:rFonts w:ascii="Arial" w:cs="Arial" w:eastAsia="Arial" w:hAnsi="Arial"/>
          <w:b/>
          <w:bCs/>
          <w:color w:val="0F2D59"/>
          <w:sz w:val="22"/>
          <w:szCs w:val="22"/>
        </w:rPr>
        <w:t xml:space="preserve">EU: GDPR: </w:t>
      </w:r>
      <w:r>
        <w:rPr>
          <w:rFonts w:ascii="Arial" w:cs="Arial" w:eastAsia="Arial" w:hAnsi="Arial"/>
          <w:color w:val="1E1E2E"/>
          <w:sz w:val="22"/>
          <w:szCs w:val="22"/>
        </w:rPr>
        <w:t xml:space="preserve">Critical for European VC users. Key obligations: lawful basis for processing, data subject rights, cross-border transfer restrictions. BYOK plus on-prem option addresses the major GDPR concerns.</w:t>
      </w:r>
    </w:p>
    <w:p>
      <w:pPr>
        <w:pStyle w:val="ListParagraph"/>
        <w:numPr>
          <w:ilvl w:val="0"/>
          <w:numId w:val="2"/>
        </w:numPr>
        <w:spacing w:before="60" w:after="60"/>
      </w:pPr>
      <w:r>
        <w:rPr>
          <w:rFonts w:ascii="Arial" w:cs="Arial" w:eastAsia="Arial" w:hAnsi="Arial"/>
          <w:b/>
          <w:bCs/>
          <w:color w:val="0F2D59"/>
          <w:sz w:val="22"/>
          <w:szCs w:val="22"/>
        </w:rPr>
        <w:t xml:space="preserve">US: SEC Regulations on AI in Finance: </w:t>
      </w:r>
      <w:r>
        <w:rPr>
          <w:rFonts w:ascii="Arial" w:cs="Arial" w:eastAsia="Arial" w:hAnsi="Arial"/>
          <w:color w:val="1E1E2E"/>
          <w:sz w:val="22"/>
          <w:szCs w:val="22"/>
        </w:rPr>
        <w:t xml:space="preserve">The SEC's 2023 AI guidance for investment advisers creates obligations around disclosure of AI use in investment decisions. Robin.ai's positioning as a 'decision support' tool rather than a 'decision-making' tool is a deliberate regulatory positioning choice.</w:t>
      </w:r>
    </w:p>
    <w:p>
      <w:pPr>
        <w:pStyle w:val="ListParagraph"/>
        <w:numPr>
          <w:ilvl w:val="0"/>
          <w:numId w:val="2"/>
        </w:numPr>
        <w:spacing w:before="60" w:after="60"/>
      </w:pPr>
      <w:r>
        <w:rPr>
          <w:rFonts w:ascii="Arial" w:cs="Arial" w:eastAsia="Arial" w:hAnsi="Arial"/>
          <w:b/>
          <w:bCs/>
          <w:color w:val="0F2D59"/>
          <w:sz w:val="22"/>
          <w:szCs w:val="22"/>
        </w:rPr>
        <w:t xml:space="preserve">Material Non-Public Information (MNPI): </w:t>
      </w:r>
      <w:r>
        <w:rPr>
          <w:rFonts w:ascii="Arial" w:cs="Arial" w:eastAsia="Arial" w:hAnsi="Arial"/>
          <w:color w:val="1E1E2E"/>
          <w:sz w:val="22"/>
          <w:szCs w:val="22"/>
        </w:rPr>
        <w:t xml:space="preserve">VCs handling pre-IPO company data must comply with regulations on MNPI. The BYOK architecture and data sovereignty framework are designed with MNPI compliance requirements in mind.</w:t>
      </w:r>
    </w:p>
    <w:p>
      <w:pPr>
        <w:pStyle w:val="Heading2"/>
        <w:spacing w:before="320" w:after="120"/>
      </w:pPr>
      <w:r>
        <w:rPr>
          <w:rFonts w:ascii="Arial" w:cs="Arial" w:eastAsia="Arial" w:hAnsi="Arial"/>
          <w:b/>
          <w:bCs/>
          <w:color w:val="1E1E2E"/>
          <w:sz w:val="28"/>
          <w:szCs w:val="28"/>
        </w:rPr>
        <w:t xml:space="preserve">9.6  The Psychology of the Target User</w:t>
      </w:r>
    </w:p>
    <w:p>
      <w:pPr>
        <w:spacing w:before="80" w:after="120"/>
        <w:jc w:val="both"/>
      </w:pPr>
      <w:r>
        <w:rPr>
          <w:rFonts w:ascii="Arial" w:cs="Arial" w:eastAsia="Arial" w:hAnsi="Arial"/>
          <w:color w:val="1E1E2E"/>
          <w:sz w:val="22"/>
          <w:szCs w:val="22"/>
        </w:rPr>
        <w:t xml:space="preserve">Understanding the psychographic profile of Robin.ai's early adopter is as important as understanding the technical architecture. The IIT/IIM VC partner is a specific personality type with specific cognitive preferences and professional identity characteristics:</w:t>
      </w:r>
    </w:p>
    <w:p>
      <w:pPr>
        <w:pStyle w:val="ListParagraph"/>
        <w:numPr>
          <w:ilvl w:val="0"/>
          <w:numId w:val="2"/>
        </w:numPr>
        <w:spacing w:before="60" w:after="60"/>
      </w:pPr>
      <w:r>
        <w:rPr>
          <w:rFonts w:ascii="Arial" w:cs="Arial" w:eastAsia="Arial" w:hAnsi="Arial"/>
          <w:b/>
          <w:bCs/>
          <w:color w:val="0F2D59"/>
          <w:sz w:val="22"/>
          <w:szCs w:val="22"/>
        </w:rPr>
        <w:t xml:space="preserve">Epistemic confidence: </w:t>
      </w:r>
      <w:r>
        <w:rPr>
          <w:rFonts w:ascii="Arial" w:cs="Arial" w:eastAsia="Arial" w:hAnsi="Arial"/>
          <w:color w:val="1E1E2E"/>
          <w:sz w:val="22"/>
          <w:szCs w:val="22"/>
        </w:rPr>
        <w:t xml:space="preserve">High-performing investors have strong, well-formed views. Robin.ai must present its analysis not as 'here is the truth' but as 'here are the questions you should be asking' — framing that preserves the user's sense of analytical agency.</w:t>
      </w:r>
    </w:p>
    <w:p>
      <w:pPr>
        <w:pStyle w:val="ListParagraph"/>
        <w:numPr>
          <w:ilvl w:val="0"/>
          <w:numId w:val="2"/>
        </w:numPr>
        <w:spacing w:before="60" w:after="60"/>
      </w:pPr>
      <w:r>
        <w:rPr>
          <w:rFonts w:ascii="Arial" w:cs="Arial" w:eastAsia="Arial" w:hAnsi="Arial"/>
          <w:b/>
          <w:bCs/>
          <w:color w:val="0F2D59"/>
          <w:sz w:val="22"/>
          <w:szCs w:val="22"/>
        </w:rPr>
        <w:t xml:space="preserve">Social signaling: </w:t>
      </w:r>
      <w:r>
        <w:rPr>
          <w:rFonts w:ascii="Arial" w:cs="Arial" w:eastAsia="Arial" w:hAnsi="Arial"/>
          <w:color w:val="1E1E2E"/>
          <w:sz w:val="22"/>
          <w:szCs w:val="22"/>
        </w:rPr>
        <w:t xml:space="preserve">The tools a sophisticated investor uses are status signals within their peer group. Robin.ai must be positioned as a 'sharp tool for sharp minds' — not a productivity aid for people who cannot process information themselves, but an amplifier for people who already process information very well.</w:t>
      </w:r>
    </w:p>
    <w:p>
      <w:pPr>
        <w:pStyle w:val="ListParagraph"/>
        <w:numPr>
          <w:ilvl w:val="0"/>
          <w:numId w:val="2"/>
        </w:numPr>
        <w:spacing w:before="60" w:after="60"/>
      </w:pPr>
      <w:r>
        <w:rPr>
          <w:rFonts w:ascii="Arial" w:cs="Arial" w:eastAsia="Arial" w:hAnsi="Arial"/>
          <w:b/>
          <w:bCs/>
          <w:color w:val="0F2D59"/>
          <w:sz w:val="22"/>
          <w:szCs w:val="22"/>
        </w:rPr>
        <w:t xml:space="preserve">Privacy paranoia: </w:t>
      </w:r>
      <w:r>
        <w:rPr>
          <w:rFonts w:ascii="Arial" w:cs="Arial" w:eastAsia="Arial" w:hAnsi="Arial"/>
          <w:color w:val="1E1E2E"/>
          <w:sz w:val="22"/>
          <w:szCs w:val="22"/>
        </w:rPr>
        <w:t xml:space="preserve">This is not irrational; it is appropriate. VCs handle material non-public information routinely. Any tool that processes their meeting data is a potential liability unless its data handling is transparent and technically verifiable. The BYOK architecture must be communicated not as a feature but as a philosophical commitment.</w:t>
      </w:r>
    </w:p>
    <w:p>
      <w:pPr>
        <w:pStyle w:val="ListParagraph"/>
        <w:numPr>
          <w:ilvl w:val="0"/>
          <w:numId w:val="2"/>
        </w:numPr>
        <w:spacing w:before="60" w:after="60"/>
      </w:pPr>
      <w:r>
        <w:rPr>
          <w:rFonts w:ascii="Arial" w:cs="Arial" w:eastAsia="Arial" w:hAnsi="Arial"/>
          <w:b/>
          <w:bCs/>
          <w:color w:val="0F2D59"/>
          <w:sz w:val="22"/>
          <w:szCs w:val="22"/>
        </w:rPr>
        <w:t xml:space="preserve">Network loyalty: </w:t>
      </w:r>
      <w:r>
        <w:rPr>
          <w:rFonts w:ascii="Arial" w:cs="Arial" w:eastAsia="Arial" w:hAnsi="Arial"/>
          <w:color w:val="1E1E2E"/>
          <w:sz w:val="22"/>
          <w:szCs w:val="22"/>
        </w:rPr>
        <w:t xml:space="preserve">Investment decisions are embedded in social networks. A tool that is adopted and endorsed by a trusted peer within the IIT/IIM network carries enormous credibility weight. The first 50 users are not just users — they are a 200-person viral network.</w:t>
      </w:r>
    </w:p>
    <w:p>
      <w:r>
        <w:br w:type="page"/>
      </w:r>
    </w:p>
    <w:p>
      <w:pPr>
        <w:spacing w:before="200" w:after="80"/>
      </w:pPr>
      <w:r>
        <w:rPr>
          <w:rFonts w:ascii="Arial" w:cs="Arial" w:eastAsia="Arial" w:hAnsi="Arial"/>
          <w:b/>
          <w:bCs/>
          <w:color w:val="E8501A"/>
          <w:spacing w:val="60"/>
          <w:sz w:val="18"/>
          <w:szCs w:val="18"/>
        </w:rPr>
        <w:t xml:space="preserve">PART X</w:t>
      </w:r>
    </w:p>
    <w:p>
      <w:pPr>
        <w:pStyle w:val="Heading1"/>
        <w:pBdr>
          <w:bottom w:val="single" w:color="E8501A" w:sz="4" w:space="4"/>
        </w:pBdr>
        <w:spacing w:before="400" w:after="160"/>
      </w:pPr>
      <w:r>
        <w:rPr>
          <w:rFonts w:ascii="Arial" w:cs="Arial" w:eastAsia="Arial" w:hAnsi="Arial"/>
          <w:b/>
          <w:bCs/>
          <w:color w:val="0F2D59"/>
          <w:sz w:val="36"/>
          <w:szCs w:val="36"/>
        </w:rPr>
        <w:t xml:space="preserve">Founding Principles &amp; Operating Manifesto</w:t>
      </w:r>
    </w:p>
    <w:p>
      <w:pPr>
        <w:spacing w:before="120" w:after="160"/>
        <w:jc w:val="both"/>
      </w:pPr>
      <w:r>
        <w:rPr>
          <w:rFonts w:ascii="Arial" w:cs="Arial" w:eastAsia="Arial" w:hAnsi="Arial"/>
          <w:i/>
          <w:iCs/>
          <w:color w:val="1E1E2E"/>
          <w:sz w:val="24"/>
          <w:szCs w:val="24"/>
        </w:rPr>
        <w:t xml:space="preserve">A product that aspires to change the epistemological standards of high-stakes decision-making must be built by a team that embodies those same standards in how they build. These are the first principles from which every subsequent decision flows.</w:t>
      </w:r>
    </w:p>
    <w:p>
      <w:pPr>
        <w:pStyle w:val="Heading2"/>
        <w:spacing w:before="320" w:after="120"/>
      </w:pPr>
      <w:r>
        <w:rPr>
          <w:rFonts w:ascii="Arial" w:cs="Arial" w:eastAsia="Arial" w:hAnsi="Arial"/>
          <w:b/>
          <w:bCs/>
          <w:color w:val="1E1E2E"/>
          <w:sz w:val="28"/>
          <w:szCs w:val="28"/>
        </w:rPr>
        <w:t xml:space="preserve">10.1  The Five Non-Negotiable Principles</w:t>
      </w:r>
    </w:p>
    <w:p>
      <w:pPr>
        <w:pStyle w:val="ListParagraph"/>
        <w:numPr>
          <w:ilvl w:val="0"/>
          <w:numId w:val="2"/>
        </w:numPr>
        <w:spacing w:before="60" w:after="60"/>
      </w:pPr>
      <w:r>
        <w:rPr>
          <w:rFonts w:ascii="Arial" w:cs="Arial" w:eastAsia="Arial" w:hAnsi="Arial"/>
          <w:b/>
          <w:bCs/>
          <w:color w:val="0F2D59"/>
          <w:sz w:val="22"/>
          <w:szCs w:val="22"/>
        </w:rPr>
        <w:t xml:space="preserve">1. Evidence Over Impression: </w:t>
      </w:r>
      <w:r>
        <w:rPr>
          <w:rFonts w:ascii="Arial" w:cs="Arial" w:eastAsia="Arial" w:hAnsi="Arial"/>
          <w:color w:val="1E1E2E"/>
          <w:sz w:val="22"/>
          <w:szCs w:val="22"/>
        </w:rPr>
        <w:t xml:space="preserve">Robin.ai will never present a conclusion that is not traceable to a specific source quotation. This applies to our product and to how we operate internally. We do not present market size claims without citing the methodology. We do not present user feedback trends without pointing to the specific quotes. We eat our own cooking.</w:t>
      </w:r>
    </w:p>
    <w:p>
      <w:pPr>
        <w:pStyle w:val="ListParagraph"/>
        <w:numPr>
          <w:ilvl w:val="0"/>
          <w:numId w:val="2"/>
        </w:numPr>
        <w:spacing w:before="60" w:after="60"/>
      </w:pPr>
      <w:r>
        <w:rPr>
          <w:rFonts w:ascii="Arial" w:cs="Arial" w:eastAsia="Arial" w:hAnsi="Arial"/>
          <w:b/>
          <w:bCs/>
          <w:color w:val="0F2D59"/>
          <w:sz w:val="22"/>
          <w:szCs w:val="22"/>
        </w:rPr>
        <w:t xml:space="preserve">2. Absence is Data: </w:t>
      </w:r>
      <w:r>
        <w:rPr>
          <w:rFonts w:ascii="Arial" w:cs="Arial" w:eastAsia="Arial" w:hAnsi="Arial"/>
          <w:color w:val="1E1E2E"/>
          <w:sz w:val="22"/>
          <w:szCs w:val="22"/>
        </w:rPr>
        <w:t xml:space="preserve">What a user does not see in our product is a product decision. Every omitted feature is a claim about what our users do not need. We name our omissions and explain them, just as our product names the metrics a founder failed to mention.</w:t>
      </w:r>
    </w:p>
    <w:p>
      <w:pPr>
        <w:pStyle w:val="ListParagraph"/>
        <w:numPr>
          <w:ilvl w:val="0"/>
          <w:numId w:val="2"/>
        </w:numPr>
        <w:spacing w:before="60" w:after="60"/>
      </w:pPr>
      <w:r>
        <w:rPr>
          <w:rFonts w:ascii="Arial" w:cs="Arial" w:eastAsia="Arial" w:hAnsi="Arial"/>
          <w:b/>
          <w:bCs/>
          <w:color w:val="0F2D59"/>
          <w:sz w:val="22"/>
          <w:szCs w:val="22"/>
        </w:rPr>
        <w:t xml:space="preserve">3. Paranoia is a Feature: </w:t>
      </w:r>
      <w:r>
        <w:rPr>
          <w:rFonts w:ascii="Arial" w:cs="Arial" w:eastAsia="Arial" w:hAnsi="Arial"/>
          <w:color w:val="1E1E2E"/>
          <w:sz w:val="22"/>
          <w:szCs w:val="22"/>
        </w:rPr>
        <w:t xml:space="preserve">Our users are right to be paranoid about data privacy. We do not treat their caution as an obstacle. We treat it as an architectural constraint that makes our product better.</w:t>
      </w:r>
    </w:p>
    <w:p>
      <w:pPr>
        <w:pStyle w:val="ListParagraph"/>
        <w:numPr>
          <w:ilvl w:val="0"/>
          <w:numId w:val="2"/>
        </w:numPr>
        <w:spacing w:before="60" w:after="60"/>
      </w:pPr>
      <w:r>
        <w:rPr>
          <w:rFonts w:ascii="Arial" w:cs="Arial" w:eastAsia="Arial" w:hAnsi="Arial"/>
          <w:b/>
          <w:bCs/>
          <w:color w:val="0F2D59"/>
          <w:sz w:val="22"/>
          <w:szCs w:val="22"/>
        </w:rPr>
        <w:t xml:space="preserve">4. Vocabulary is Strategy: </w:t>
      </w:r>
      <w:r>
        <w:rPr>
          <w:rFonts w:ascii="Arial" w:cs="Arial" w:eastAsia="Arial" w:hAnsi="Arial"/>
          <w:color w:val="1E1E2E"/>
          <w:sz w:val="22"/>
          <w:szCs w:val="22"/>
        </w:rPr>
        <w:t xml:space="preserve">Every word in our product, our marketing, and our internal communication is a strategic choice. We build our vocabulary with the same rigor we apply to our features.</w:t>
      </w:r>
    </w:p>
    <w:p>
      <w:pPr>
        <w:pStyle w:val="ListParagraph"/>
        <w:numPr>
          <w:ilvl w:val="0"/>
          <w:numId w:val="2"/>
        </w:numPr>
        <w:spacing w:before="60" w:after="60"/>
      </w:pPr>
      <w:r>
        <w:rPr>
          <w:rFonts w:ascii="Arial" w:cs="Arial" w:eastAsia="Arial" w:hAnsi="Arial"/>
          <w:b/>
          <w:bCs/>
          <w:color w:val="0F2D59"/>
          <w:sz w:val="22"/>
          <w:szCs w:val="22"/>
        </w:rPr>
        <w:t xml:space="preserve">5. The 10% Rule: </w:t>
      </w:r>
      <w:r>
        <w:rPr>
          <w:rFonts w:ascii="Arial" w:cs="Arial" w:eastAsia="Arial" w:hAnsi="Arial"/>
          <w:color w:val="1E1E2E"/>
          <w:sz w:val="22"/>
          <w:szCs w:val="22"/>
        </w:rPr>
        <w:t xml:space="preserve">We filter out the 90% so our users can focus on the 10% that matters. This principle applies to our own product: we will ship fewer features than our competitors and make each one count for more.</w:t>
      </w:r>
    </w:p>
    <w:p>
      <w:pPr>
        <w:pStyle w:val="Heading2"/>
        <w:spacing w:before="320" w:after="120"/>
      </w:pPr>
      <w:r>
        <w:rPr>
          <w:rFonts w:ascii="Arial" w:cs="Arial" w:eastAsia="Arial" w:hAnsi="Arial"/>
          <w:b/>
          <w:bCs/>
          <w:color w:val="1E1E2E"/>
          <w:sz w:val="28"/>
          <w:szCs w:val="28"/>
        </w:rPr>
        <w:t xml:space="preserve">10.2  The Robin.ai Mantra</w:t>
      </w:r>
    </w:p>
    <w:p>
      <w:pPr>
        <w:pBdr>
          <w:left w:val="single" w:color="E8501A" w:sz="8" w:space="8"/>
        </w:pBdr>
        <w:spacing w:before="240" w:after="120"/>
        <w:jc w:val="center"/>
      </w:pPr>
      <w:r>
        <w:rPr>
          <w:rFonts w:ascii="Arial" w:cs="Arial" w:eastAsia="Arial" w:hAnsi="Arial"/>
          <w:b/>
          <w:bCs/>
          <w:i/>
          <w:iCs/>
          <w:color w:val="0F2D59"/>
          <w:sz w:val="28"/>
          <w:szCs w:val="28"/>
        </w:rPr>
        <w:t xml:space="preserve">"Don't believe everything you hear. Believe the evidence."</w:t>
      </w:r>
    </w:p>
    <w:p>
      <w:pPr>
        <w:spacing w:before="80" w:after="120"/>
        <w:jc w:val="both"/>
      </w:pPr>
      <w:r>
        <w:rPr>
          <w:rFonts w:ascii="Arial" w:cs="Arial" w:eastAsia="Arial" w:hAnsi="Arial"/>
          <w:color w:val="1E1E2E"/>
          <w:sz w:val="22"/>
          <w:szCs w:val="22"/>
        </w:rPr>
        <w:t xml:space="preserve">This is not a tagline. It is a cognitive operating system for a new generation of leaders who are tired of being confident and wrong, and ready to be uncertain and right.</w:t>
      </w:r>
    </w:p>
    <w:p>
      <w:pPr>
        <w:pBdr>
          <w:bottom w:val="single" w:color="DEE4ED" w:sz="2" w:space="1"/>
        </w:pBdr>
        <w:spacing w:before="160" w:after="160"/>
      </w:pPr>
      <w:r>
        <w:t xml:space="preserve"/>
      </w:r>
    </w:p>
    <w:p>
      <w:pPr>
        <w:spacing w:before="200" w:after="100"/>
        <w:jc w:val="center"/>
      </w:pPr>
      <w:r>
        <w:rPr>
          <w:rFonts w:ascii="Arial" w:cs="Arial" w:eastAsia="Arial" w:hAnsi="Arial"/>
          <w:i/>
          <w:iCs/>
          <w:color w:val="8A99AA"/>
          <w:sz w:val="18"/>
          <w:szCs w:val="18"/>
        </w:rPr>
        <w:t xml:space="preserve">This document is confidential and intended solely for founding team and strategic partners of Robin.ai. Unauthorized reproduction or distribution is prohibited.</w:t>
      </w:r>
    </w:p>
    <w:p>
      <w:pPr>
        <w:spacing w:before="0" w:after="0"/>
        <w:jc w:val="center"/>
      </w:pPr>
      <w:r>
        <w:rPr>
          <w:rFonts w:ascii="Arial" w:cs="Arial" w:eastAsia="Arial" w:hAnsi="Arial"/>
          <w:color w:val="8A99AA"/>
          <w:sz w:val="18"/>
          <w:szCs w:val="18"/>
        </w:rPr>
        <w:t xml:space="preserve">© Robin.ai 2025 ·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4ED" w:sz="2" w:space="1"/>
      </w:pBdr>
      <w:tabs>
        <w:tab w:val="right" w:pos="9026"/>
      </w:tabs>
      <w:spacing w:before="0"/>
    </w:pPr>
    <w:r>
      <w:rPr>
        <w:rFonts w:ascii="Arial" w:cs="Arial" w:eastAsia="Arial" w:hAnsi="Arial"/>
        <w:color w:val="8A99AA"/>
        <w:sz w:val="16"/>
        <w:szCs w:val="16"/>
      </w:rPr>
      <w:t xml:space="preserve">robin.ai  ·  Proprietary &amp;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4ED" w:sz="2" w:space="1"/>
      </w:pBdr>
      <w:tabs>
        <w:tab w:val="right" w:pos="9026"/>
      </w:tabs>
      <w:spacing w:after="0"/>
    </w:pPr>
    <w:r>
      <w:rPr>
        <w:rFonts w:ascii="Arial" w:cs="Arial" w:eastAsia="Arial" w:hAnsi="Arial"/>
        <w:b/>
        <w:bCs/>
        <w:color w:val="8A99AA"/>
        <w:sz w:val="16"/>
        <w:szCs w:val="16"/>
      </w:rPr>
      <w:t xml:space="preserve">ROBIN.AI — CONFIDENTIAL</w:t>
    </w:r>
    <w:r>
      <w:rPr>
        <w:sz w:val="16"/>
        <w:szCs w:val="16"/>
      </w:rPr>
      <w:t xml:space="preserve">	</w:t>
    </w:r>
    <w:r>
      <w:rPr>
        <w:rFonts w:ascii="Arial" w:cs="Arial" w:eastAsia="Arial" w:hAnsi="Arial"/>
        <w:i/>
        <w:iCs/>
        <w:color w:val="8A99AA"/>
        <w:sz w:val="16"/>
        <w:szCs w:val="16"/>
      </w:rPr>
      <w:t xml:space="preserve">Cognitive Firewall · Investor Operating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2D5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1E2E"/>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A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2026-02-16T06:51:25.696Z</dcterms:created>
  <dcterms:modified xsi:type="dcterms:W3CDTF">2026-02-16T06:51:25.697Z</dcterms:modified>
</cp:coreProperties>
</file>

<file path=docProps/custom.xml><?xml version="1.0" encoding="utf-8"?>
<Properties xmlns="http://schemas.openxmlformats.org/officeDocument/2006/custom-properties" xmlns:vt="http://schemas.openxmlformats.org/officeDocument/2006/docPropsVTypes"/>
</file>