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6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Cyber Security Risk Assessment &amp; Strategic Planning</w:t>
      </w:r>
    </w:p>
    <w:p>
      <w:pPr>
        <w:spacing w:before="0" w:after="4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i/>
          <w:color w:val="555555"/>
          <w:spacing w:val="0"/>
          <w:position w:val="0"/>
          <w:sz w:val="26"/>
          <w:shd w:fill="auto" w:val="clear"/>
        </w:rPr>
        <w:t xml:space="preserve">E-Governance Digital Services Environment</w:t>
      </w:r>
    </w:p>
    <w:p>
      <w:pPr>
        <w:spacing w:before="0" w:after="4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555555"/>
          <w:spacing w:val="0"/>
          <w:position w:val="0"/>
          <w:sz w:val="22"/>
          <w:shd w:fill="auto" w:val="clear"/>
        </w:rPr>
        <w:t xml:space="preserve">Yuva Intern </w:t>
      </w:r>
      <w:r>
        <w:rPr>
          <w:rFonts w:ascii="Calibri" w:hAnsi="Calibri" w:cs="Calibri" w:eastAsia="Calibri"/>
          <w:color w:val="555555"/>
          <w:spacing w:val="0"/>
          <w:position w:val="0"/>
          <w:sz w:val="22"/>
          <w:shd w:fill="auto" w:val="clear"/>
        </w:rPr>
        <w:t xml:space="preserve">– NSDC  |  Week 1 Task</w:t>
      </w:r>
    </w:p>
    <w:p>
      <w:pPr>
        <w:spacing w:before="300" w:after="15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  <w:t xml:space="preserve">1. Executive Summary</w:t>
      </w:r>
    </w:p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This report presents a comprehensive cyber security risk assessment and strategic mitigation plan for an e-governance digital service environment. E-governance platforms manage sensitive citizen data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identity records, financial details, and health information — while remaining publicly accessible, which makes them high-value targets for cyber attackers.</w:t>
      </w:r>
    </w:p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assessment identifies ten key risk areas spanning application security, network security, identity and access management, and third-party/supply chain exposure. Three risks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SQL injection vulnerabilities, phishing/credential theft, and unpatched legacy systems — are rated Critical and require immediate remediation within 30 days. The report concludes with a prioritized risk matrix and a strategic control plan mapped to ownership and timelines, enabling the organization to systematically reduce its cyber risk exposure.</w:t>
      </w:r>
    </w:p>
    <w:p>
      <w:pPr>
        <w:spacing w:before="300" w:after="15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  <w:t xml:space="preserve">2. Methodology</w:t>
      </w:r>
    </w:p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risk assessment was conducted using a structured, industry-aligned approach combining publicly available cyber security frameworks and best practices for public sector digital services:</w:t>
      </w:r>
    </w:p>
    <w:p>
      <w:pPr>
        <w:numPr>
          <w:ilvl w:val="0"/>
          <w:numId w:val="8"/>
        </w:numPr>
        <w:spacing w:before="0" w:after="8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Reference Frameworks: NIST Cybersecurity Framework (Identify, Protect, Detect, Respond, Recover), ISO/IEC 27001 Information Security Management guidelines, and OWASP Top 10 for web application risks.</w:t>
      </w:r>
    </w:p>
    <w:p>
      <w:pPr>
        <w:numPr>
          <w:ilvl w:val="0"/>
          <w:numId w:val="8"/>
        </w:numPr>
        <w:spacing w:before="0" w:after="8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Risk Identification: Review of common e-governance attack surfaces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citizen web/mobile portals, inter-department APIs, databases holding PII, and administrative systems.</w:t>
      </w:r>
    </w:p>
    <w:p>
      <w:pPr>
        <w:numPr>
          <w:ilvl w:val="0"/>
          <w:numId w:val="8"/>
        </w:numPr>
        <w:spacing w:before="0" w:after="8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Risk Analysis: Each identified risk was evaluated on Likelihood (probability of occurrence) and Impact (severity of consequence to citizens and government operations), rated as Low, Medium, or High.</w:t>
      </w:r>
    </w:p>
    <w:p>
      <w:pPr>
        <w:numPr>
          <w:ilvl w:val="0"/>
          <w:numId w:val="8"/>
        </w:numPr>
        <w:spacing w:before="0" w:after="8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Risk Prioritization: Likelihood and Impact were combined into an overall Risk Level (Critical, High, Medium, Low) to rank issues by urgency.</w:t>
      </w:r>
    </w:p>
    <w:p>
      <w:pPr>
        <w:numPr>
          <w:ilvl w:val="0"/>
          <w:numId w:val="8"/>
        </w:numPr>
        <w:spacing w:before="0" w:after="8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Mitigation Planning: Controls were mapped to each risk, following the principle of matching control strength to risk severity, with realistic ownership and implementation timelines.</w:t>
      </w:r>
    </w:p>
    <w:p>
      <w:pPr>
        <w:spacing w:before="300" w:after="15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  <w:t xml:space="preserve">3. Risk Identification</w:t>
      </w:r>
    </w:p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following categories of threats and vulnerabilities were identified as most relevant to public digital services:</w:t>
      </w:r>
    </w:p>
    <w:p>
      <w:pPr>
        <w:spacing w:before="22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  <w:t xml:space="preserve">3.1 Application-Layer Threats</w:t>
      </w:r>
    </w:p>
    <w:p>
      <w:pPr>
        <w:numPr>
          <w:ilvl w:val="0"/>
          <w:numId w:val="12"/>
        </w:numPr>
        <w:spacing w:before="0" w:after="8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Injection attacks (SQL injection, cross-site scripting) due to insufficient input validation on citizen-facing forms.</w:t>
      </w:r>
    </w:p>
    <w:p>
      <w:pPr>
        <w:numPr>
          <w:ilvl w:val="0"/>
          <w:numId w:val="12"/>
        </w:numPr>
        <w:spacing w:before="0" w:after="8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Insecure or poorly authenticated APIs used to exchange data between government departments.</w:t>
      </w:r>
    </w:p>
    <w:p>
      <w:pPr>
        <w:spacing w:before="22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  <w:t xml:space="preserve">3.2 Identity &amp; Access Risks</w:t>
      </w:r>
    </w:p>
    <w:p>
      <w:pPr>
        <w:numPr>
          <w:ilvl w:val="0"/>
          <w:numId w:val="14"/>
        </w:numPr>
        <w:spacing w:before="0" w:after="8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Phishing and credential theft targeting both citizens and government staff.</w:t>
      </w:r>
    </w:p>
    <w:p>
      <w:pPr>
        <w:numPr>
          <w:ilvl w:val="0"/>
          <w:numId w:val="14"/>
        </w:numPr>
        <w:spacing w:before="0" w:after="8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Weak authentication practices and absence of multi-factor authentication (MFA) on administrative panels.</w:t>
      </w:r>
    </w:p>
    <w:p>
      <w:pPr>
        <w:numPr>
          <w:ilvl w:val="0"/>
          <w:numId w:val="14"/>
        </w:numPr>
        <w:spacing w:before="0" w:after="8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Insider threats arising from excessive privileges or inadequate access reviews.</w:t>
      </w:r>
    </w:p>
    <w:p>
      <w:pPr>
        <w:spacing w:before="22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  <w:t xml:space="preserve">3.3 Infrastructure &amp; Availability Risks</w:t>
      </w:r>
    </w:p>
    <w:p>
      <w:pPr>
        <w:numPr>
          <w:ilvl w:val="0"/>
          <w:numId w:val="16"/>
        </w:numPr>
        <w:spacing w:before="0" w:after="8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Unpatched, end-of-life, or legacy systems still in production use.</w:t>
      </w:r>
    </w:p>
    <w:p>
      <w:pPr>
        <w:numPr>
          <w:ilvl w:val="0"/>
          <w:numId w:val="16"/>
        </w:numPr>
        <w:spacing w:before="0" w:after="8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Ransomware attacks capable of encrypting critical citizen data and disrupting services.</w:t>
      </w:r>
    </w:p>
    <w:p>
      <w:pPr>
        <w:numPr>
          <w:ilvl w:val="0"/>
          <w:numId w:val="16"/>
        </w:numPr>
        <w:spacing w:before="0" w:after="8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Distributed Denial-of-Service (DDoS) attacks against public-facing portals during high-traffic periods (e.g., tax filing deadlines).</w:t>
      </w:r>
    </w:p>
    <w:p>
      <w:pPr>
        <w:spacing w:before="22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  <w:t xml:space="preserve">3.4 Data &amp; Third-Party Risks</w:t>
      </w:r>
    </w:p>
    <w:p>
      <w:pPr>
        <w:numPr>
          <w:ilvl w:val="0"/>
          <w:numId w:val="18"/>
        </w:numPr>
        <w:spacing w:before="0" w:after="8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Breach or leakage of citizen Personally Identifiable Information (PII), including identity, financial, and health data.</w:t>
      </w:r>
    </w:p>
    <w:p>
      <w:pPr>
        <w:numPr>
          <w:ilvl w:val="0"/>
          <w:numId w:val="18"/>
        </w:numPr>
        <w:spacing w:before="0" w:after="8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Supply chain and third-party vendor vulnerabilities introduced through outsourced development or hosting.</w:t>
      </w:r>
    </w:p>
    <w:p>
      <w:pPr>
        <w:spacing w:before="300" w:after="15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  <w:t xml:space="preserve">4. Risk Matrix &amp; Prioritization</w:t>
      </w:r>
    </w:p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Each risk was scored on Likelihood and Impact and assigned a combined Risk Level to determine remediation priority (1 = most urgent):</w:t>
      </w:r>
    </w:p>
    <w:tbl>
      <w:tblPr/>
      <w:tblGrid>
        <w:gridCol w:w="900"/>
        <w:gridCol w:w="2600"/>
        <w:gridCol w:w="1300"/>
        <w:gridCol w:w="1300"/>
        <w:gridCol w:w="1300"/>
        <w:gridCol w:w="1200"/>
      </w:tblGrid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e2f3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Risk ID</w:t>
            </w:r>
          </w:p>
        </w:tc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e2f3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Risk / Threat</w:t>
            </w:r>
          </w:p>
        </w:tc>
        <w:tc>
          <w:tcPr>
            <w:tcW w:w="13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e2f3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Likelihood</w:t>
            </w:r>
          </w:p>
        </w:tc>
        <w:tc>
          <w:tcPr>
            <w:tcW w:w="13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e2f3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Impact</w:t>
            </w:r>
          </w:p>
        </w:tc>
        <w:tc>
          <w:tcPr>
            <w:tcW w:w="13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e2f3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Risk Level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e2f3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Priority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R-01</w:t>
            </w:r>
          </w:p>
        </w:tc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SQL Injection / Input validation flaws on citizen service portals</w:t>
            </w:r>
          </w:p>
        </w:tc>
        <w:tc>
          <w:tcPr>
            <w:tcW w:w="13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High</w:t>
            </w:r>
          </w:p>
        </w:tc>
        <w:tc>
          <w:tcPr>
            <w:tcW w:w="13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High</w:t>
            </w:r>
          </w:p>
        </w:tc>
        <w:tc>
          <w:tcPr>
            <w:tcW w:w="13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cbad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Critical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R-02</w:t>
            </w:r>
          </w:p>
        </w:tc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Phishing &amp; credential theft targeting citizens and staff</w:t>
            </w:r>
          </w:p>
        </w:tc>
        <w:tc>
          <w:tcPr>
            <w:tcW w:w="13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High</w:t>
            </w:r>
          </w:p>
        </w:tc>
        <w:tc>
          <w:tcPr>
            <w:tcW w:w="13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High</w:t>
            </w:r>
          </w:p>
        </w:tc>
        <w:tc>
          <w:tcPr>
            <w:tcW w:w="13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cbad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Critical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R-03</w:t>
            </w:r>
          </w:p>
        </w:tc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Unpatched legacy systems and outdated software</w:t>
            </w:r>
          </w:p>
        </w:tc>
        <w:tc>
          <w:tcPr>
            <w:tcW w:w="13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High</w:t>
            </w:r>
          </w:p>
        </w:tc>
        <w:tc>
          <w:tcPr>
            <w:tcW w:w="13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High</w:t>
            </w:r>
          </w:p>
        </w:tc>
        <w:tc>
          <w:tcPr>
            <w:tcW w:w="13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cbad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Critical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R-04</w:t>
            </w:r>
          </w:p>
        </w:tc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Insecure APIs used for inter-department data exchange</w:t>
            </w:r>
          </w:p>
        </w:tc>
        <w:tc>
          <w:tcPr>
            <w:tcW w:w="13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Medium</w:t>
            </w:r>
          </w:p>
        </w:tc>
        <w:tc>
          <w:tcPr>
            <w:tcW w:w="13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High</w:t>
            </w:r>
          </w:p>
        </w:tc>
        <w:tc>
          <w:tcPr>
            <w:tcW w:w="13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e699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High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R-05</w:t>
            </w:r>
          </w:p>
        </w:tc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Ransomware attacks on government data servers</w:t>
            </w:r>
          </w:p>
        </w:tc>
        <w:tc>
          <w:tcPr>
            <w:tcW w:w="13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Medium</w:t>
            </w:r>
          </w:p>
        </w:tc>
        <w:tc>
          <w:tcPr>
            <w:tcW w:w="13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High</w:t>
            </w:r>
          </w:p>
        </w:tc>
        <w:tc>
          <w:tcPr>
            <w:tcW w:w="13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e699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High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R-06</w:t>
            </w:r>
          </w:p>
        </w:tc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Data breach of citizen PII (Aadhaar, financial, health records)</w:t>
            </w:r>
          </w:p>
        </w:tc>
        <w:tc>
          <w:tcPr>
            <w:tcW w:w="13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Medium</w:t>
            </w:r>
          </w:p>
        </w:tc>
        <w:tc>
          <w:tcPr>
            <w:tcW w:w="13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High</w:t>
            </w:r>
          </w:p>
        </w:tc>
        <w:tc>
          <w:tcPr>
            <w:tcW w:w="13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e699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High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6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R-07</w:t>
            </w:r>
          </w:p>
        </w:tc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Insider threats / privilege misuse by employees</w:t>
            </w:r>
          </w:p>
        </w:tc>
        <w:tc>
          <w:tcPr>
            <w:tcW w:w="13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Medium</w:t>
            </w:r>
          </w:p>
        </w:tc>
        <w:tc>
          <w:tcPr>
            <w:tcW w:w="13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Medium</w:t>
            </w:r>
          </w:p>
        </w:tc>
        <w:tc>
          <w:tcPr>
            <w:tcW w:w="13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c6e0b4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Medium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7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R-08</w:t>
            </w:r>
          </w:p>
        </w:tc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DDoS attacks on public-facing e-governance portals</w:t>
            </w:r>
          </w:p>
        </w:tc>
        <w:tc>
          <w:tcPr>
            <w:tcW w:w="13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Medium</w:t>
            </w:r>
          </w:p>
        </w:tc>
        <w:tc>
          <w:tcPr>
            <w:tcW w:w="13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Medium</w:t>
            </w:r>
          </w:p>
        </w:tc>
        <w:tc>
          <w:tcPr>
            <w:tcW w:w="13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c6e0b4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Medium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8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R-09</w:t>
            </w:r>
          </w:p>
        </w:tc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Weak authentication / lack of MFA on admin panels</w:t>
            </w:r>
          </w:p>
        </w:tc>
        <w:tc>
          <w:tcPr>
            <w:tcW w:w="13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Medium</w:t>
            </w:r>
          </w:p>
        </w:tc>
        <w:tc>
          <w:tcPr>
            <w:tcW w:w="13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Medium</w:t>
            </w:r>
          </w:p>
        </w:tc>
        <w:tc>
          <w:tcPr>
            <w:tcW w:w="13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c6e0b4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Medium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9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R-10</w:t>
            </w:r>
          </w:p>
        </w:tc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Third-party / vendor supply chain vulnerabilities</w:t>
            </w:r>
          </w:p>
        </w:tc>
        <w:tc>
          <w:tcPr>
            <w:tcW w:w="13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Low</w:t>
            </w:r>
          </w:p>
        </w:tc>
        <w:tc>
          <w:tcPr>
            <w:tcW w:w="13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Medium</w:t>
            </w:r>
          </w:p>
        </w:tc>
        <w:tc>
          <w:tcPr>
            <w:tcW w:w="13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c6e0b4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Low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10</w:t>
            </w:r>
          </w:p>
        </w:tc>
      </w:tr>
    </w:tbl>
    <w:p>
      <w:pPr>
        <w:spacing w:before="20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Legend: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Critical (red)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immediate action required   |   High (amber) — action required in near term   |   Medium/Low (green) — monitor and remediate on standard schedule.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15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  <w:t xml:space="preserve">5. Strategic Mitigation Plan</w:t>
      </w:r>
    </w:p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following controls are recommended for each identified risk, aligned to ownership and implementation timeline:</w:t>
      </w:r>
    </w:p>
    <w:tbl>
      <w:tblPr/>
      <w:tblGrid>
        <w:gridCol w:w="900"/>
        <w:gridCol w:w="5200"/>
        <w:gridCol w:w="1500"/>
        <w:gridCol w:w="1500"/>
      </w:tblGrid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e2f3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Risk ID</w:t>
            </w:r>
          </w:p>
        </w:tc>
        <w:tc>
          <w:tcPr>
            <w:tcW w:w="5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e2f3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Recommended Control / Mitigation Strategy</w:t>
            </w:r>
          </w:p>
        </w:tc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e2f3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Owner</w:t>
            </w:r>
          </w:p>
        </w:tc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e2f3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Timeline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R-01</w:t>
            </w:r>
          </w:p>
        </w:tc>
        <w:tc>
          <w:tcPr>
            <w:tcW w:w="5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Implement parameterized queries/prepared statements, input validation, and a Web Application Firewall (WAF) across all citizen portals.</w:t>
            </w:r>
          </w:p>
        </w:tc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Application Security Team</w:t>
            </w:r>
          </w:p>
        </w:tc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–30 days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R-02</w:t>
            </w:r>
          </w:p>
        </w:tc>
        <w:tc>
          <w:tcPr>
            <w:tcW w:w="5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Deploy email/SMS phishing filters, run periodic staff awareness training, and enable multi-factor authentication (MFA) for citizen and staff logins.</w:t>
            </w:r>
          </w:p>
        </w:tc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IT Security &amp; HR</w:t>
            </w:r>
          </w:p>
        </w:tc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–30 days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R-03</w:t>
            </w:r>
          </w:p>
        </w:tc>
        <w:tc>
          <w:tcPr>
            <w:tcW w:w="5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Establish a formal patch management policy; inventory and upgrade end-of-life systems on a defined schedule.</w:t>
            </w:r>
          </w:p>
        </w:tc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Infrastructure Team</w:t>
            </w:r>
          </w:p>
        </w:tc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–60 days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R-04</w:t>
            </w:r>
          </w:p>
        </w:tc>
        <w:tc>
          <w:tcPr>
            <w:tcW w:w="5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Enforce API authentication (OAuth2/API keys), rate limiting, and encryption (TLS) for all inter-department data exchange.</w:t>
            </w:r>
          </w:p>
        </w:tc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Integration/DevOps Team</w:t>
            </w:r>
          </w:p>
        </w:tc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–60 days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R-05</w:t>
            </w:r>
          </w:p>
        </w:tc>
        <w:tc>
          <w:tcPr>
            <w:tcW w:w="5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Maintain offline/immutable backups, deploy endpoint detection &amp; response (EDR), and create a ransomware incident response playbook.</w:t>
            </w:r>
          </w:p>
        </w:tc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IT Security Team</w:t>
            </w:r>
          </w:p>
        </w:tc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–60 days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R-06</w:t>
            </w:r>
          </w:p>
        </w:tc>
        <w:tc>
          <w:tcPr>
            <w:tcW w:w="5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Encrypt PII at rest and in transit, apply data masking/anonymization, and enforce role-based access control (RBAC).</w:t>
            </w:r>
          </w:p>
        </w:tc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Data Governance Team</w:t>
            </w:r>
          </w:p>
        </w:tc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–90 days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R-07</w:t>
            </w:r>
          </w:p>
        </w:tc>
        <w:tc>
          <w:tcPr>
            <w:tcW w:w="5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Apply least-privilege access, enable audit logging of privileged actions, and conduct periodic access reviews.</w:t>
            </w:r>
          </w:p>
        </w:tc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IT Security Team</w:t>
            </w:r>
          </w:p>
        </w:tc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–90 days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R-08</w:t>
            </w:r>
          </w:p>
        </w:tc>
        <w:tc>
          <w:tcPr>
            <w:tcW w:w="5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Deploy DDoS protection/CDN services and configure auto-scaling and traffic monitoring on public portals.</w:t>
            </w:r>
          </w:p>
        </w:tc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Infrastructure Team</w:t>
            </w:r>
          </w:p>
        </w:tc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–60 days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R-09</w:t>
            </w:r>
          </w:p>
        </w:tc>
        <w:tc>
          <w:tcPr>
            <w:tcW w:w="5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Mandate MFA and strong password policies for all administrative and privileged accounts.</w:t>
            </w:r>
          </w:p>
        </w:tc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IT Security Team</w:t>
            </w:r>
          </w:p>
        </w:tc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–30 days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R-10</w:t>
            </w:r>
          </w:p>
        </w:tc>
        <w:tc>
          <w:tcPr>
            <w:tcW w:w="5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Conduct vendor security assessments, include security clauses in contracts, and monitor third-party access.</w:t>
            </w:r>
          </w:p>
        </w:tc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Procurement &amp; Security Team</w:t>
            </w:r>
          </w:p>
        </w:tc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60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–90 days</w:t>
            </w:r>
          </w:p>
        </w:tc>
      </w:tr>
    </w:tbl>
    <w:p>
      <w:pPr>
        <w:spacing w:before="300" w:after="15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  <w:t xml:space="preserve">6. Key Steps Undertaken</w:t>
      </w:r>
    </w:p>
    <w:p>
      <w:pPr>
        <w:numPr>
          <w:ilvl w:val="0"/>
          <w:numId w:val="76"/>
        </w:numPr>
        <w:spacing w:before="0" w:after="8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Researched current cyber security risk management frameworks relevant to e-governance (NIST CSF, ISO 27001, OWASP Top 10).</w:t>
      </w:r>
    </w:p>
    <w:p>
      <w:pPr>
        <w:numPr>
          <w:ilvl w:val="0"/>
          <w:numId w:val="76"/>
        </w:numPr>
        <w:spacing w:before="0" w:after="8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Identified possible threats and vulnerabilities associated with public digital services.</w:t>
      </w:r>
    </w:p>
    <w:p>
      <w:pPr>
        <w:numPr>
          <w:ilvl w:val="0"/>
          <w:numId w:val="76"/>
        </w:numPr>
        <w:spacing w:before="0" w:after="8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Built a risk matrix scoring each risk by likelihood, impact, and overall risk level.</w:t>
      </w:r>
    </w:p>
    <w:p>
      <w:pPr>
        <w:numPr>
          <w:ilvl w:val="0"/>
          <w:numId w:val="76"/>
        </w:numPr>
        <w:spacing w:before="0" w:after="8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Developed a prioritized, owner-mapped strategic mitigation plan for identified risks.</w:t>
      </w:r>
    </w:p>
    <w:p>
      <w:pPr>
        <w:numPr>
          <w:ilvl w:val="0"/>
          <w:numId w:val="76"/>
        </w:numPr>
        <w:spacing w:before="0" w:after="8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Compiled all findings into this structured report.</w:t>
      </w:r>
    </w:p>
    <w:p>
      <w:pPr>
        <w:spacing w:before="300" w:after="15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  <w:t xml:space="preserve">7. Conclusion</w:t>
      </w:r>
    </w:p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Securing e-governance platforms requires a layered defense strategy that addresses application vulnerabilities, strengthens identity and access controls, modernizes infrastructure, and safeguards citizen data. By prioritizing the Critical and High risks identified in this assessment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input validation flaws, phishing exposure, legacy systems, insecure APIs, ransomware readiness, and PII protection — the organization can significantly reduce its overall attack surface. Continuous monitoring, periodic re-assessment, and staff awareness training should accompany the technical controls outlined above to maintain a resilient security posture over time.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8">
    <w:abstractNumId w:val="30"/>
  </w:num>
  <w:num w:numId="12">
    <w:abstractNumId w:val="24"/>
  </w:num>
  <w:num w:numId="14">
    <w:abstractNumId w:val="18"/>
  </w:num>
  <w:num w:numId="16">
    <w:abstractNumId w:val="12"/>
  </w:num>
  <w:num w:numId="18">
    <w:abstractNumId w:val="6"/>
  </w:num>
  <w:num w:numId="7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