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76"/>
        <w:ind w:right="0" w:left="0" w:firstLine="0"/>
        <w:jc w:val="center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6"/>
          <w:shd w:fill="auto" w:val="clear"/>
        </w:rPr>
        <w:t xml:space="preserve">INCIDENT RESPONSE PLAN &amp; CYBER THREAT INTELLIGENCE ANALYSIS</w:t>
      </w:r>
    </w:p>
    <w:p>
      <w:pPr>
        <w:spacing w:before="0" w:after="28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646E7D"/>
          <w:spacing w:val="0"/>
          <w:position w:val="0"/>
          <w:sz w:val="24"/>
          <w:shd w:fill="auto" w:val="clear"/>
        </w:rPr>
        <w:t xml:space="preserve">Framework &amp; Actionable Defense Strategy for Public Sector E-Governance Platforms </w:t>
      </w: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  Yuva Intern </w:t>
      </w: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 NSDC  |  Week 3 Task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1. Executive Summary &amp; Scope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Electronic Governance (e-Governance) systems serve as critical national infrastructure (CNI), managing massive volumes of Personally Identifiable Information (PII), sensitive citizen identity documents, financial disbursements, and vital public utility operations. A disruption or compromise within public digital services directly threatens citizen trust, national security, and operational continuity.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This comprehensive document delivers an institutional-grade Incident Response Plan (IRP) aligned with NIST SP 800-61 Rev. 2 and ISO/IEC 27035, integrated with deep Cyber Threat Intelligence (CTI) tailored specifically to the e-Governance ecosystem.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2. Cyber Threat Intelligence (CTI) Analysis for E-Governance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2.1 Threat Actor Landscape</w:t>
      </w:r>
    </w:p>
    <w:tbl>
      <w:tblPr/>
      <w:tblGrid>
        <w:gridCol w:w="2484"/>
        <w:gridCol w:w="2484"/>
        <w:gridCol w:w="2484"/>
        <w:gridCol w:w="2484"/>
      </w:tblGrid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Threat Actor Category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Primary Motivation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Typical TTPs &amp; Target Surface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Impact Level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Nation-State APTs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Espionage, Strategic Sabotage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Spear-phishing, Zero-day exploitation, Living-off-the-Land (LotL), targeting State Data Centers (SDCs)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8"/>
                <w:shd w:fill="auto" w:val="clear"/>
              </w:rPr>
              <w:t xml:space="preserve">Critical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Ransomware Cartels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Financial Extortion, Double-Extortion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Compromised RDP/VPN credentials, encrypting municipal databases &amp; exfiltrating citizen PII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8"/>
                <w:shd w:fill="auto" w:val="clear"/>
              </w:rPr>
              <w:t xml:space="preserve">Critical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Hacktivists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Ideological Disruption, Defacement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Volumetric DDoS against citizen portals, Web defacement, public credential leaking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6400"/>
                <w:spacing w:val="0"/>
                <w:position w:val="0"/>
                <w:sz w:val="18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Malicious / Negligent Insiders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Financial Gain, Accidental Leakage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Abuse of privileged DB access, misconfigured cloud storage (e.g., public S3 buckets)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6400"/>
                <w:spacing w:val="0"/>
                <w:position w:val="0"/>
                <w:sz w:val="18"/>
                <w:shd w:fill="auto" w:val="clear"/>
              </w:rPr>
              <w:t xml:space="preserve">High</w:t>
            </w:r>
          </w:p>
        </w:tc>
      </w:tr>
    </w:tbl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2.2 Specific Attack Vectors &amp; MITRE ATT&amp;CK Mapping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E-Governance architectures rely heavily on interconnected API gateways (e.g., e-Pramaan, DigiLocker, Aadhaar/e-KYC bridges, unified payment interfaces). These interfaces introduce distinct attack surfaces:</w:t>
      </w:r>
    </w:p>
    <w:tbl>
      <w:tblPr/>
      <w:tblGrid>
        <w:gridCol w:w="2484"/>
        <w:gridCol w:w="2484"/>
        <w:gridCol w:w="2484"/>
        <w:gridCol w:w="2484"/>
      </w:tblGrid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e56a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Attack Vector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e56a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MITRE ATT&amp;CK ID &amp; Name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e56a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Threat Mechanism in E-Gov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e56a0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Countermeasure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API Broken Object Level Authorization (BOLA)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8"/>
                <w:shd w:fill="auto" w:val="clear"/>
              </w:rPr>
              <w:t xml:space="preserve">T1190: Exploit Public-Facing Application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Manipulating citizen ID parameters in REST calls to access records belonging to other citizens.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Strict OAuth2 token introspection, schema validation, API rate limiting.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Credential Stuffing on Public Portals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8"/>
                <w:shd w:fill="auto" w:val="clear"/>
              </w:rPr>
              <w:t xml:space="preserve">T1110.004: Credential Stuffing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Automated replay of leaked breach combos to hijack citizen welfare &amp; tax accounts.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Adaptive MFA, CAPTCHA integration, WAF behavioral blocking.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Supply-Chain / Third-Party Vendor Compromise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8"/>
                <w:shd w:fill="auto" w:val="clear"/>
              </w:rPr>
              <w:t xml:space="preserve">T1195.002: Supply Chain Compromise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Exploiting contracted software development agencies to inject backdoors into government portals.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Software Bill of Materials (SBOM), zero-trust network access, strict code signing.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Volumetric &amp; Layer 7 DDoS on Service Days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8"/>
                <w:shd w:fill="auto" w:val="clear"/>
              </w:rPr>
              <w:t xml:space="preserve">T1498: Network Denial of Service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Exhausting server capacity during peak tax/benefit filing deadlines to deny public access.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8"/>
                <w:shd w:fill="auto" w:val="clear"/>
              </w:rPr>
              <w:t xml:space="preserve">Anycast DNS routing, automated scrubbing center rerouting, CDN caching.</w:t>
            </w:r>
          </w:p>
        </w:tc>
      </w:tr>
    </w:tbl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3. Incident Response Governance &amp; RACI Framework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An effective incident response capability requires unambiguous role allocation across technical, managerial, and legal stakeholders. The following RACI matrix governs incident execution:</w:t>
      </w:r>
    </w:p>
    <w:tbl>
      <w:tblPr/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rHeight w:val="1" w:hRule="atLeast"/>
          <w:jc w:val="center"/>
        </w:trPr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Phase / Activity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Incident Commander (CISO)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SOC / IR Lead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Sys/Net Admin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DevSecOps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DPO / Legal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02c57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Public PR / Comms</w:t>
            </w:r>
          </w:p>
        </w:tc>
      </w:tr>
      <w:tr>
        <w:trPr>
          <w:trHeight w:val="1" w:hRule="atLeast"/>
          <w:jc w:val="center"/>
        </w:trPr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1. Triage &amp; Classification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64B4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</w:tr>
      <w:tr>
        <w:trPr>
          <w:trHeight w:val="1" w:hRule="atLeast"/>
          <w:jc w:val="center"/>
        </w:trPr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2. Threat Containment &amp; Isolation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64B4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</w:tr>
      <w:tr>
        <w:trPr>
          <w:trHeight w:val="1" w:hRule="atLeast"/>
          <w:jc w:val="center"/>
        </w:trPr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3. Forensics &amp; Evidence Seizure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64B4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</w:tr>
      <w:tr>
        <w:trPr>
          <w:trHeight w:val="1" w:hRule="atLeast"/>
          <w:jc w:val="center"/>
        </w:trPr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4. Eradication &amp; Vulnerability Patching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64B4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</w:tr>
      <w:tr>
        <w:trPr>
          <w:trHeight w:val="1" w:hRule="atLeast"/>
          <w:jc w:val="center"/>
        </w:trPr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5. Service Restoration &amp; Validation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64B4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</w:tr>
      <w:tr>
        <w:trPr>
          <w:trHeight w:val="1" w:hRule="atLeast"/>
          <w:jc w:val="center"/>
        </w:trPr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6. Regulatory / CERT-In Notification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64B4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</w:tr>
      <w:tr>
        <w:trPr>
          <w:trHeight w:val="1" w:hRule="atLeast"/>
          <w:jc w:val="center"/>
        </w:trPr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7. Citizen &amp; Media Advisory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64B4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center"/>
        </w:trPr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8. Post-Incident Review &amp; Lessons Learned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64B4"/>
                <w:spacing w:val="0"/>
                <w:position w:val="0"/>
                <w:sz w:val="17"/>
                <w:shd w:fill="auto" w:val="clear"/>
              </w:rPr>
              <w:t xml:space="preserve">A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B40000"/>
                <w:spacing w:val="0"/>
                <w:position w:val="0"/>
                <w:sz w:val="17"/>
                <w:shd w:fill="auto" w:val="clear"/>
              </w:rPr>
              <w:t xml:space="preserve">R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C</w:t>
            </w:r>
          </w:p>
        </w:tc>
        <w:tc>
          <w:tcPr>
            <w:tcW w:w="14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0" w:type="dxa"/>
              <w:right w:w="6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I</w:t>
            </w:r>
          </w:p>
        </w:tc>
      </w:tr>
    </w:tbl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i/>
          <w:color w:val="282828"/>
          <w:spacing w:val="0"/>
          <w:position w:val="0"/>
          <w:sz w:val="17"/>
          <w:shd w:fill="auto" w:val="clear"/>
        </w:rPr>
        <w:t xml:space="preserve">Legend: R = Responsible (doer), A = Accountable (decision maker), C = Consulted (subject expert), I = Informed (kept updated).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4. Step-by-Step Incident Response Lifecycle (NIST SP 800-61)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Phase 1: Preparation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Logging Architecture: Centralize logs across all e-Governance tiers (WAF, API Gateway, App Servers, DB clusters) into a tamper-evident SIEM with 1-year hot retention as mandated by CERT-In/national directives.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Immutable Backups: Maintain Write-Once-Read-Many (WORM) offsite and air-gapped backups of citizen demographic and transactional databases with automated daily checksum verification.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EDR &amp; Threat Hunting: Deploy endpoint detection and response (EDR) agents on all government endpoints and state data center VMs.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Phase 2: Detection, Triage &amp; Severity Classification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Incidents must be triaged within 15 minutes of an automated alert or manual report, mapped to standardized severity levels:</w:t>
      </w:r>
    </w:p>
    <w:tbl>
      <w:tblPr/>
      <w:tblGrid>
        <w:gridCol w:w="2484"/>
        <w:gridCol w:w="2484"/>
        <w:gridCol w:w="2484"/>
        <w:gridCol w:w="2484"/>
      </w:tblGrid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e56a0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Severity Level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e56a0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Description &amp; Criteria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e56a0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Example Scenario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1e56a0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8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Target SLA Response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P1 - Critical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Mass citizen PII breach (&gt;100k records), active ransomware encrypting government DB, complete portal outage.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Ransomware encryption on Land Registry Cluster.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&lt; 15 minutes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P2 - High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Compromised admin credentials, API BOLA exploitation without bulk exfiltration, isolated malware infection.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Privileged admin credential leak on dark web forums.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&lt; 1 hour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P3 - Medium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Localized portal defacement, minor non-critical internal malware alert, repetitive brute force attempts.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Citizen portal header defaced with non-state propaganda.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&lt; 4 hours</w:t>
            </w:r>
          </w:p>
        </w:tc>
      </w:tr>
      <w:tr>
        <w:trPr>
          <w:trHeight w:val="1" w:hRule="atLeast"/>
          <w:jc w:val="center"/>
        </w:trPr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82828"/>
                <w:spacing w:val="0"/>
                <w:position w:val="0"/>
                <w:sz w:val="17"/>
                <w:shd w:fill="auto" w:val="clear"/>
              </w:rPr>
              <w:t xml:space="preserve">P4 - Low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Port scans, blocked phishing emails targeting staff, non-critical policy violations.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Reconnaissance port scan against state gateway IP range.</w:t>
            </w:r>
          </w:p>
        </w:tc>
        <w:tc>
          <w:tcPr>
            <w:tcW w:w="248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9fbfc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82828"/>
                <w:spacing w:val="0"/>
                <w:position w:val="0"/>
                <w:sz w:val="17"/>
                <w:shd w:fill="auto" w:val="clear"/>
              </w:rPr>
              <w:t xml:space="preserve">&lt; 24 hours</w:t>
            </w:r>
          </w:p>
        </w:tc>
      </w:tr>
    </w:tbl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Phase 3: Containment Strategy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1. Short-Term Containment:</w:t>
        <w:br/>
        <w:t xml:space="preserve">   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Network Isolation: Immediately segregate compromised subnets via VLAN ACLs and zero-trust micro-segmentation policies.</w:t>
        <w:br/>
        <w:t xml:space="preserve">   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Token &amp; Session Revocation: Invalidate all active OAuth tokens, API session keys, and administrative Kerberos tickets across IAM domains.</w:t>
        <w:br/>
        <w:t xml:space="preserve">   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Forensic Snapshotting: Take full volatile RAM dumps and block-level VM disk snapshots prior to powering down or restarting systems to preserve chain of custody.</w:t>
        <w:br/>
        <w:t xml:space="preserve">2. Long-Term Containment:</w:t>
        <w:br/>
        <w:t xml:space="preserve">   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Deploy egress filtering rules blocking established C2 (Command &amp; Control) IP ranges and domains identified via threat feeds.</w:t>
        <w:br/>
        <w:t xml:space="preserve">   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Enable enhanced WAF inspection modes to filter malicious payload strings.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Phase 4: Eradication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Root Cause Elimination: Patch identified application vulnerabilities (e.g., SQLi, zero-day CVEs) and harden web server configurations.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Malware Removal: Execute enterprise-wide EDR remediation scripts to purge malicious binaries, persistence registries, cron jobs, and unauthorized shadow admin accounts.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Complete Credential Rotation: Force a global reset of service account passwords, SSH keys, database credentials, and admin MFA tokens.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Phase 5: Recovery &amp; Service Restoration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Phased System Rebuild: Restore systems using verified, cryptographically validated golden images and clean, pre-compromise immutable backups.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Data Integrity Verification: Run automated checksum comparison algorithms across citizen databases to ensure zero unauthorized record tampering or silent data corruption.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Enhanced Observation Mode: Place restored services under continuous 24/7 SOC telemetry monitoring with aggressive alert thresholds for 14 days post-recovery.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E56A0"/>
          <w:spacing w:val="0"/>
          <w:position w:val="0"/>
          <w:sz w:val="26"/>
          <w:shd w:fill="auto" w:val="clear"/>
        </w:rPr>
        <w:t xml:space="preserve">Phase 6: Post-Incident Activity &amp; Lessons Learned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Post-Mortem Meeting: Convene mandatory post-incident review within 72 hours of incident closure with all IR team members and stakeholders.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Formal Root Cause Analysis (RCA): Document timeline, attacker TTPs, containment efficacy, and systemic vulnerabilities.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Regulatory Compliance Filing: Submit complete statutory incident disclosure to CERT-In (within the mandatory 6-hour window for critical sectors) and Data Protection Authorities under national data protection laws.</w:t>
        <w:br/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•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Playbook Refinement: Update SOC detection rules, firewall baselines, and IR playbooks based on gaps identified.</w:t>
      </w:r>
    </w:p>
    <w:p>
      <w:pPr>
        <w:keepNext w:val="true"/>
        <w:keepLines w:val="true"/>
        <w:spacing w:before="280" w:after="12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02C57"/>
          <w:spacing w:val="0"/>
          <w:position w:val="0"/>
          <w:sz w:val="30"/>
          <w:shd w:fill="auto" w:val="clear"/>
        </w:rPr>
        <w:t xml:space="preserve">5. Regulatory Frameworks &amp; Academic References</w:t>
      </w:r>
    </w:p>
    <w:p>
      <w:pPr>
        <w:spacing w:before="0" w:after="80" w:line="276"/>
        <w:ind w:right="0" w:left="0" w:firstLine="0"/>
        <w:jc w:val="left"/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1. NIST SP 800-61 Rev. 2: Computer Security Incident Handling Guide, National Institute of Standards and Technology.</w:t>
        <w:br/>
        <w:t xml:space="preserve">2. ISO/IEC 27035-1/2:2023: Information technology 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—</w:t>
      </w:r>
      <w:r>
        <w:rPr>
          <w:rFonts w:ascii="Calibri" w:hAnsi="Calibri" w:cs="Calibri" w:eastAsia="Calibri"/>
          <w:color w:val="282828"/>
          <w:spacing w:val="0"/>
          <w:position w:val="0"/>
          <w:sz w:val="21"/>
          <w:shd w:fill="auto" w:val="clear"/>
        </w:rPr>
        <w:t xml:space="preserve"> Information security incident management.</w:t>
        <w:br/>
        <w:t xml:space="preserve">3. CERT-In Cyber Security Directions: Guidelines under Section 70B of the Information Technology Act for mandatory reporting and log retention.</w:t>
        <w:br/>
        <w:t xml:space="preserve">4. MITRE ATT&amp;CK Framework for Enterprise (v14): Matrix for mapping public-sector adversarial techniques.</w:t>
        <w:br/>
        <w:t xml:space="preserve">5. OWASP Top 10 API Security Risks: Best practice guidelines for citizen-facing REST API gateways.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