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 w:line="240"/>
        <w:ind w:right="0" w:left="0" w:firstLine="0"/>
        <w:jc w:val="center"/>
        <w:rPr>
          <w:rFonts w:ascii="Calibri" w:hAnsi="Calibri" w:cs="Calibri" w:eastAsia="Calibri"/>
          <w:color w:val="auto"/>
          <w:spacing w:val="0"/>
          <w:position w:val="0"/>
          <w:sz w:val="40"/>
          <w:shd w:fill="auto" w:val="clear"/>
        </w:rPr>
      </w:pPr>
      <w:r>
        <w:rPr>
          <w:rFonts w:ascii="Calibri" w:hAnsi="Calibri" w:cs="Calibri" w:eastAsia="Calibri"/>
          <w:b/>
          <w:color w:val="auto"/>
          <w:spacing w:val="0"/>
          <w:position w:val="0"/>
          <w:sz w:val="40"/>
          <w:shd w:fill="auto" w:val="clear"/>
        </w:rPr>
        <w:t xml:space="preserve">Policy Review &amp; Compliance Framework Analysis</w:t>
      </w:r>
    </w:p>
    <w:p>
      <w:pPr>
        <w:spacing w:before="0" w:after="40" w:line="240"/>
        <w:ind w:right="0" w:left="0" w:firstLine="0"/>
        <w:jc w:val="center"/>
        <w:rPr>
          <w:rFonts w:ascii="Calibri" w:hAnsi="Calibri" w:cs="Calibri" w:eastAsia="Calibri"/>
          <w:color w:val="auto"/>
          <w:spacing w:val="0"/>
          <w:position w:val="0"/>
          <w:sz w:val="26"/>
          <w:shd w:fill="auto" w:val="clear"/>
        </w:rPr>
      </w:pPr>
      <w:r>
        <w:rPr>
          <w:rFonts w:ascii="Calibri" w:hAnsi="Calibri" w:cs="Calibri" w:eastAsia="Calibri"/>
          <w:i/>
          <w:color w:val="555555"/>
          <w:spacing w:val="0"/>
          <w:position w:val="0"/>
          <w:sz w:val="26"/>
          <w:shd w:fill="auto" w:val="clear"/>
        </w:rPr>
        <w:t xml:space="preserve">Cyber Security Policy Evaluation for E-Governance &amp; Digital Services</w:t>
      </w:r>
    </w:p>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55555"/>
          <w:spacing w:val="0"/>
          <w:position w:val="0"/>
          <w:sz w:val="22"/>
          <w:shd w:fill="auto" w:val="clear"/>
        </w:rPr>
        <w:t xml:space="preserve">  Yuva Intern </w:t>
      </w:r>
      <w:r>
        <w:rPr>
          <w:rFonts w:ascii="Calibri" w:hAnsi="Calibri" w:cs="Calibri" w:eastAsia="Calibri"/>
          <w:color w:val="555555"/>
          <w:spacing w:val="0"/>
          <w:position w:val="0"/>
          <w:sz w:val="22"/>
          <w:shd w:fill="auto" w:val="clear"/>
        </w:rPr>
        <w:t xml:space="preserve">– NSDC  |  Week 2 Task</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 Executive Summary</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reviews the cyber security policies and regulatory frameworks currently applicable to India's e-governance and digital public service ecosystem, including the Information Technology Act, 2000, CERT-In directions, and relevant sectoral guidelines. While existing frameworks provide a baseline for securing digital services, several gaps remain </w:t>
      </w:r>
      <w:r>
        <w:rPr>
          <w:rFonts w:ascii="Calibri" w:hAnsi="Calibri" w:cs="Calibri" w:eastAsia="Calibri"/>
          <w:color w:val="auto"/>
          <w:spacing w:val="0"/>
          <w:position w:val="0"/>
          <w:sz w:val="22"/>
          <w:shd w:fill="auto" w:val="clear"/>
        </w:rPr>
        <w:t xml:space="preserve">— particularly around mandatory multi-factor authentication, consistent breach notification, vendor security governance, and recurring compliance audits.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identifies seven key policy areas with gaps ranging from Critical to Medium severity, and proposes a revised compliance framework with prioritized, actionable recommendations. Implementing these recommendations would materially strengthen the integrity, transparency, and citizen-data protection posture of public digital services.</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2. Analysis of Current Frameworks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publicly available frameworks and regulations were reviewed as the baseline for e-governance cyber security and compliance in India:</w:t>
      </w:r>
    </w:p>
    <w:p>
      <w:pPr>
        <w:numPr>
          <w:ilvl w:val="0"/>
          <w:numId w:val="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Information Technology Act, 2000 (and IT Rules) </w:t>
      </w:r>
      <w:r>
        <w:rPr>
          <w:rFonts w:ascii="Calibri" w:hAnsi="Calibri" w:cs="Calibri" w:eastAsia="Calibri"/>
          <w:color w:val="auto"/>
          <w:spacing w:val="0"/>
          <w:position w:val="0"/>
          <w:sz w:val="22"/>
          <w:shd w:fill="auto" w:val="clear"/>
        </w:rPr>
        <w:t xml:space="preserve">— the primary legal framework governing electronic governance, data handling, and cyber offences in India.</w:t>
      </w:r>
    </w:p>
    <w:p>
      <w:pPr>
        <w:numPr>
          <w:ilvl w:val="0"/>
          <w:numId w:val="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CERT-In Directions (2022) </w:t>
      </w:r>
      <w:r>
        <w:rPr>
          <w:rFonts w:ascii="Calibri" w:hAnsi="Calibri" w:cs="Calibri" w:eastAsia="Calibri"/>
          <w:color w:val="auto"/>
          <w:spacing w:val="0"/>
          <w:position w:val="0"/>
          <w:sz w:val="22"/>
          <w:shd w:fill="auto" w:val="clear"/>
        </w:rPr>
        <w:t xml:space="preserve">— mandate reporting of cyber security incidents to CERT-In within 6 hours of detection, and require organizations to maintain logs for a specified retention period.</w:t>
      </w:r>
    </w:p>
    <w:p>
      <w:pPr>
        <w:numPr>
          <w:ilvl w:val="0"/>
          <w:numId w:val="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Personal Data Protection Act (DPDPA), 2023 </w:t>
      </w:r>
      <w:r>
        <w:rPr>
          <w:rFonts w:ascii="Calibri" w:hAnsi="Calibri" w:cs="Calibri" w:eastAsia="Calibri"/>
          <w:color w:val="auto"/>
          <w:spacing w:val="0"/>
          <w:position w:val="0"/>
          <w:sz w:val="22"/>
          <w:shd w:fill="auto" w:val="clear"/>
        </w:rPr>
        <w:t xml:space="preserve">— establishes principles for lawful processing and protection of citizens' personal data by data fiduciaries, including government bodies.</w:t>
      </w:r>
    </w:p>
    <w:p>
      <w:pPr>
        <w:numPr>
          <w:ilvl w:val="0"/>
          <w:numId w:val="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Cyber Security Policy </w:t>
      </w:r>
      <w:r>
        <w:rPr>
          <w:rFonts w:ascii="Calibri" w:hAnsi="Calibri" w:cs="Calibri" w:eastAsia="Calibri"/>
          <w:color w:val="auto"/>
          <w:spacing w:val="0"/>
          <w:position w:val="0"/>
          <w:sz w:val="22"/>
          <w:shd w:fill="auto" w:val="clear"/>
        </w:rPr>
        <w:t xml:space="preserve">— outlines high-level objectives for building a secure cyberspace, though it lacks granular, enforceable technical mandates for individual departments.</w:t>
      </w:r>
    </w:p>
    <w:p>
      <w:pPr>
        <w:numPr>
          <w:ilvl w:val="0"/>
          <w:numId w:val="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ISO/IEC 27001 &amp; NIST Cybersecurity Framework </w:t>
      </w:r>
      <w:r>
        <w:rPr>
          <w:rFonts w:ascii="Calibri" w:hAnsi="Calibri" w:cs="Calibri" w:eastAsia="Calibri"/>
          <w:color w:val="auto"/>
          <w:spacing w:val="0"/>
          <w:position w:val="0"/>
          <w:sz w:val="22"/>
          <w:shd w:fill="auto" w:val="clear"/>
        </w:rPr>
        <w:t xml:space="preserve">— internationally recognized standards voluntarily referenced by some government IT departments for information security management, though adoption is inconsistent.</w:t>
      </w:r>
    </w:p>
    <w:p>
      <w:pPr>
        <w:numPr>
          <w:ilvl w:val="0"/>
          <w:numId w:val="7"/>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Ministry of Electronics &amp; IT (MeitY) Guidelines </w:t>
      </w:r>
      <w:r>
        <w:rPr>
          <w:rFonts w:ascii="Calibri" w:hAnsi="Calibri" w:cs="Calibri" w:eastAsia="Calibri"/>
          <w:color w:val="auto"/>
          <w:spacing w:val="0"/>
          <w:position w:val="0"/>
          <w:sz w:val="22"/>
          <w:shd w:fill="auto" w:val="clear"/>
        </w:rPr>
        <w:t xml:space="preserve">— provide application security and hosting guidelines for government websites and portals (e.g., empanelled auditor requirements).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Overall, these frameworks establish a reasonable legal and procedural foundation, but enforcement is fragmented across central, state, and departmental levels, and several frameworks lack binding technical specificity (e.g., what authentication strength is 'sufficient').</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3. Identified Regulatory &amp; Policy Gaps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table below summarizes the current state, identified gap, and severity for each major policy area reviewed:</w:t>
      </w:r>
    </w:p>
    <w:tbl>
      <w:tblPr/>
      <w:tblGrid>
        <w:gridCol w:w="2000"/>
        <w:gridCol w:w="2800"/>
        <w:gridCol w:w="2800"/>
        <w:gridCol w:w="1100"/>
      </w:tblGrid>
      <w:tr>
        <w:trPr>
          <w:trHeight w:val="1" w:hRule="atLeast"/>
          <w:jc w:val="left"/>
        </w:trPr>
        <w:tc>
          <w:tcPr>
            <w:tcW w:w="2000" w:type="dxa"/>
            <w:tcBorders>
              <w:top w:val="single" w:color="000000" w:sz="4"/>
              <w:left w:val="single" w:color="000000" w:sz="4"/>
              <w:bottom w:val="single" w:color="000000" w:sz="4"/>
              <w:right w:val="single" w:color="000000" w:sz="4"/>
            </w:tcBorders>
            <w:shd w:color="auto" w:fill="d9e2f3"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Policy Area</w:t>
            </w:r>
          </w:p>
        </w:tc>
        <w:tc>
          <w:tcPr>
            <w:tcW w:w="2800" w:type="dxa"/>
            <w:tcBorders>
              <w:top w:val="single" w:color="000000" w:sz="4"/>
              <w:left w:val="single" w:color="000000" w:sz="4"/>
              <w:bottom w:val="single" w:color="000000" w:sz="4"/>
              <w:right w:val="single" w:color="000000" w:sz="4"/>
            </w:tcBorders>
            <w:shd w:color="auto" w:fill="d9e2f3"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Current State</w:t>
            </w:r>
          </w:p>
        </w:tc>
        <w:tc>
          <w:tcPr>
            <w:tcW w:w="2800" w:type="dxa"/>
            <w:tcBorders>
              <w:top w:val="single" w:color="000000" w:sz="4"/>
              <w:left w:val="single" w:color="000000" w:sz="4"/>
              <w:bottom w:val="single" w:color="000000" w:sz="4"/>
              <w:right w:val="single" w:color="000000" w:sz="4"/>
            </w:tcBorders>
            <w:shd w:color="auto" w:fill="d9e2f3"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Identified Gap</w:t>
            </w:r>
          </w:p>
        </w:tc>
        <w:tc>
          <w:tcPr>
            <w:tcW w:w="1100" w:type="dxa"/>
            <w:tcBorders>
              <w:top w:val="single" w:color="000000" w:sz="4"/>
              <w:left w:val="single" w:color="000000" w:sz="4"/>
              <w:bottom w:val="single" w:color="000000" w:sz="4"/>
              <w:right w:val="single" w:color="000000" w:sz="4"/>
            </w:tcBorders>
            <w:shd w:color="auto" w:fill="d9e2f3"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Severity</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Protection &amp; Privacy</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Guided loosely by IT Act 2000 and sector circulars; no unified data protection law fully in force for all e-governance data.</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mandatory breach notification timeline specific to e-governance portals; inconsistent PII handling across departments.</w:t>
            </w:r>
          </w:p>
        </w:tc>
        <w:tc>
          <w:tcPr>
            <w:tcW w:w="1100" w:type="dxa"/>
            <w:tcBorders>
              <w:top w:val="single" w:color="000000" w:sz="4"/>
              <w:left w:val="single" w:color="000000" w:sz="4"/>
              <w:bottom w:val="single" w:color="000000" w:sz="4"/>
              <w:right w:val="single" w:color="000000" w:sz="4"/>
            </w:tcBorders>
            <w:shd w:color="auto" w:fill="f8cbad"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Critical</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Authentication &amp; Access Control</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portals rely on username/password or OTP-based login.</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mandated multi-factor authentication (MFA) standard for administrative/back-end access across departments.</w:t>
            </w:r>
          </w:p>
        </w:tc>
        <w:tc>
          <w:tcPr>
            <w:tcW w:w="1100" w:type="dxa"/>
            <w:tcBorders>
              <w:top w:val="single" w:color="000000" w:sz="4"/>
              <w:left w:val="single" w:color="000000" w:sz="4"/>
              <w:bottom w:val="single" w:color="000000" w:sz="4"/>
              <w:right w:val="single" w:color="000000" w:sz="4"/>
            </w:tcBorders>
            <w:shd w:color="auto" w:fill="f8cbad"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Critical</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Reporting</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CERT-In mandates reporting of cyber incidents within 6 hours.</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state-level e-governance bodies lack internal SOPs to meet this timeline consistently; reporting is inconsistent in practice.</w:t>
            </w:r>
          </w:p>
        </w:tc>
        <w:tc>
          <w:tcPr>
            <w:tcW w:w="1100" w:type="dxa"/>
            <w:tcBorders>
              <w:top w:val="single" w:color="000000" w:sz="4"/>
              <w:left w:val="single" w:color="000000" w:sz="4"/>
              <w:bottom w:val="single" w:color="000000" w:sz="4"/>
              <w:right w:val="single" w:color="000000" w:sz="4"/>
            </w:tcBorders>
            <w:shd w:color="auto" w:fill="ffe699"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High</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Third-Party / Vendor Management</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Vendors engaged via standard government procurement (GeM/tender) contracts.</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clauses and audit rights are not uniformly enforced or verified before vendor onboarding.</w:t>
            </w:r>
          </w:p>
        </w:tc>
        <w:tc>
          <w:tcPr>
            <w:tcW w:w="1100" w:type="dxa"/>
            <w:tcBorders>
              <w:top w:val="single" w:color="000000" w:sz="4"/>
              <w:left w:val="single" w:color="000000" w:sz="4"/>
              <w:bottom w:val="single" w:color="000000" w:sz="4"/>
              <w:right w:val="single" w:color="000000" w:sz="4"/>
            </w:tcBorders>
            <w:shd w:color="auto" w:fill="ffe699"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High</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Localization</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directives require certain data classes to be stored within India.</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consistent enforcement or audit mechanism verifying localization compliance across all e-governance systems.</w:t>
            </w:r>
          </w:p>
        </w:tc>
        <w:tc>
          <w:tcPr>
            <w:tcW w:w="1100" w:type="dxa"/>
            <w:tcBorders>
              <w:top w:val="single" w:color="000000" w:sz="4"/>
              <w:left w:val="single" w:color="000000" w:sz="4"/>
              <w:bottom w:val="single" w:color="000000" w:sz="4"/>
              <w:right w:val="single" w:color="000000" w:sz="4"/>
            </w:tcBorders>
            <w:shd w:color="auto" w:fill="c6e0b4"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Medium</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 Security Awareness</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Ad-hoc, department-specific training where it exists at all.</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mandated recurring cyber security training/certification requirement for government staff handling citizen data.</w:t>
            </w:r>
          </w:p>
        </w:tc>
        <w:tc>
          <w:tcPr>
            <w:tcW w:w="1100" w:type="dxa"/>
            <w:tcBorders>
              <w:top w:val="single" w:color="000000" w:sz="4"/>
              <w:left w:val="single" w:color="000000" w:sz="4"/>
              <w:bottom w:val="single" w:color="000000" w:sz="4"/>
              <w:right w:val="single" w:color="000000" w:sz="4"/>
            </w:tcBorders>
            <w:shd w:color="auto" w:fill="c6e0b4"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Medium</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&amp; Compliance Monitoring</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Periodic audits conducted by CERT-In empanelled auditors on some systems.</w:t>
            </w:r>
          </w:p>
        </w:tc>
        <w:tc>
          <w:tcPr>
            <w:tcW w:w="28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standardized, government-wide minimum audit frequency or public compliance reporting mechanism.</w:t>
            </w:r>
          </w:p>
        </w:tc>
        <w:tc>
          <w:tcPr>
            <w:tcW w:w="1100" w:type="dxa"/>
            <w:tcBorders>
              <w:top w:val="single" w:color="000000" w:sz="4"/>
              <w:left w:val="single" w:color="000000" w:sz="4"/>
              <w:bottom w:val="single" w:color="000000" w:sz="4"/>
              <w:right w:val="single" w:color="000000" w:sz="4"/>
            </w:tcBorders>
            <w:shd w:color="auto" w:fill="c6e0b4"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Medium</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4. Proposed Compliance Framework &amp; Recommendations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Based on the gaps identified above, the following revised framework and recommendations are proposed to strengthen policy compliance and citizen data protection in e-governance services:</w:t>
      </w:r>
    </w:p>
    <w:tbl>
      <w:tblPr/>
      <w:tblGrid>
        <w:gridCol w:w="3400"/>
        <w:gridCol w:w="4300"/>
        <w:gridCol w:w="1000"/>
      </w:tblGrid>
      <w:tr>
        <w:trPr>
          <w:trHeight w:val="1" w:hRule="atLeast"/>
          <w:jc w:val="left"/>
        </w:trPr>
        <w:tc>
          <w:tcPr>
            <w:tcW w:w="3400" w:type="dxa"/>
            <w:tcBorders>
              <w:top w:val="single" w:color="000000" w:sz="4"/>
              <w:left w:val="single" w:color="000000" w:sz="4"/>
              <w:bottom w:val="single" w:color="000000" w:sz="4"/>
              <w:right w:val="single" w:color="000000" w:sz="4"/>
            </w:tcBorders>
            <w:shd w:color="auto" w:fill="d9e2f3"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Recommendation</w:t>
            </w:r>
          </w:p>
        </w:tc>
        <w:tc>
          <w:tcPr>
            <w:tcW w:w="4300" w:type="dxa"/>
            <w:tcBorders>
              <w:top w:val="single" w:color="000000" w:sz="4"/>
              <w:left w:val="single" w:color="000000" w:sz="4"/>
              <w:bottom w:val="single" w:color="000000" w:sz="4"/>
              <w:right w:val="single" w:color="000000" w:sz="4"/>
            </w:tcBorders>
            <w:shd w:color="auto" w:fill="d9e2f3"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Justification</w:t>
            </w:r>
          </w:p>
        </w:tc>
        <w:tc>
          <w:tcPr>
            <w:tcW w:w="1000" w:type="dxa"/>
            <w:tcBorders>
              <w:top w:val="single" w:color="000000" w:sz="4"/>
              <w:left w:val="single" w:color="000000" w:sz="4"/>
              <w:bottom w:val="single" w:color="000000" w:sz="4"/>
              <w:right w:val="single" w:color="000000" w:sz="4"/>
            </w:tcBorders>
            <w:shd w:color="auto" w:fill="d9e2f3"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Priority</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Mandate MFA for all administrative and privileged system access.</w:t>
            </w:r>
          </w:p>
        </w:tc>
        <w:tc>
          <w:tcPr>
            <w:tcW w:w="43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Reduces credential-based compromise, aligning with NIST 800-63B and ISO/IEC 27001 access control guidance.</w:t>
            </w:r>
          </w:p>
        </w:tc>
        <w:tc>
          <w:tcPr>
            <w:tcW w:w="1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Adopt a unified data protection and breach notification standard across all e-governance platforms.</w:t>
            </w:r>
          </w:p>
        </w:tc>
        <w:tc>
          <w:tcPr>
            <w:tcW w:w="43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Ensures consistent citizen data handling and timely breach disclosure in line with global data protection norms (e.g., GDPR-style breach windows).</w:t>
            </w:r>
          </w:p>
        </w:tc>
        <w:tc>
          <w:tcPr>
            <w:tcW w:w="1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Establish a standard incident response SOP mapped to CERT-In's 6-hour reporting mandate.</w:t>
            </w:r>
          </w:p>
        </w:tc>
        <w:tc>
          <w:tcPr>
            <w:tcW w:w="43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Closes the gap between the legal requirement and actual departmental readiness to report within the mandated window.</w:t>
            </w:r>
          </w:p>
        </w:tc>
        <w:tc>
          <w:tcPr>
            <w:tcW w:w="1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P1</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Enforce mandatory security clauses and periodic audits for all third-party vendors.</w:t>
            </w:r>
          </w:p>
        </w:tc>
        <w:tc>
          <w:tcPr>
            <w:tcW w:w="43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Reduces supply-chain risk, a growing attack vector in public sector breaches.</w:t>
            </w:r>
          </w:p>
        </w:tc>
        <w:tc>
          <w:tcPr>
            <w:tcW w:w="1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P2</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Introduce recurring, mandatory cyber security awareness training for government employees.</w:t>
            </w:r>
          </w:p>
        </w:tc>
        <w:tc>
          <w:tcPr>
            <w:tcW w:w="43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Human error and phishing remain leading causes of breaches; regular training reduces this risk.</w:t>
            </w:r>
          </w:p>
        </w:tc>
        <w:tc>
          <w:tcPr>
            <w:tcW w:w="1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P2</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a minimum audit frequency and public compliance reporting mechanism.</w:t>
            </w:r>
          </w:p>
        </w:tc>
        <w:tc>
          <w:tcPr>
            <w:tcW w:w="43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Improves transparency and accountability, and creates measurable compliance benchmarks.</w:t>
            </w:r>
          </w:p>
        </w:tc>
        <w:tc>
          <w:tcPr>
            <w:tcW w:w="1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P3</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enforcement of data localization requirements through periodic verification audits.</w:t>
            </w:r>
          </w:p>
        </w:tc>
        <w:tc>
          <w:tcPr>
            <w:tcW w:w="43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Ensures sensitive citizen data remains within jurisdictional and legal control.</w:t>
            </w:r>
          </w:p>
        </w:tc>
        <w:tc>
          <w:tcPr>
            <w:tcW w:w="100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P3</w:t>
            </w:r>
          </w:p>
        </w:tc>
      </w:tr>
    </w:tbl>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5. Key Steps Undertaken</w:t>
      </w:r>
    </w:p>
    <w:p>
      <w:pPr>
        <w:numPr>
          <w:ilvl w:val="0"/>
          <w:numId w:val="5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Reviewed and summarized publicly available cyber security policies and regulatory frameworks applicable to digital public services (IT Act 2000, CERT-In directions, DPDPA 2023, ISO/IEC 27001, NIST CSF, MeitY guidelines).</w:t>
      </w:r>
    </w:p>
    <w:p>
      <w:pPr>
        <w:numPr>
          <w:ilvl w:val="0"/>
          <w:numId w:val="5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Identified key areas </w:t>
      </w:r>
      <w:r>
        <w:rPr>
          <w:rFonts w:ascii="Calibri" w:hAnsi="Calibri" w:cs="Calibri" w:eastAsia="Calibri"/>
          <w:color w:val="auto"/>
          <w:spacing w:val="0"/>
          <w:position w:val="0"/>
          <w:sz w:val="22"/>
          <w:shd w:fill="auto" w:val="clear"/>
        </w:rPr>
        <w:t xml:space="preserve">— authentication, data protection, incident reporting, vendor management, data localization, training, and auditing — where current policies fall short.</w:t>
      </w:r>
    </w:p>
    <w:p>
      <w:pPr>
        <w:numPr>
          <w:ilvl w:val="0"/>
          <w:numId w:val="5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 revised compliance framework proposal with detailed justifications for each recommendation, prioritized by urgency (P1</w:t>
      </w:r>
      <w:r>
        <w:rPr>
          <w:rFonts w:ascii="Calibri" w:hAnsi="Calibri" w:cs="Calibri" w:eastAsia="Calibri"/>
          <w:color w:val="auto"/>
          <w:spacing w:val="0"/>
          <w:position w:val="0"/>
          <w:sz w:val="22"/>
          <w:shd w:fill="auto" w:val="clear"/>
        </w:rPr>
        <w:t xml:space="preserve">–P3).</w:t>
      </w:r>
    </w:p>
    <w:p>
      <w:pPr>
        <w:numPr>
          <w:ilvl w:val="0"/>
          <w:numId w:val="5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Documented all findings and proposals in this structured report.</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6. Conclusion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India's e-governance ecosystem is supported by a growing body of cyber security regulation, but consistent enforcement and technical specificity remain the biggest weaknesses. Prioritizing mandatory MFA, unified breach notification standards, and formal incident response SOPs will close the most critical gaps in the near term, while strengthened vendor governance, recurring staff training, and standardized compliance auditing will build long-term resilience. Adopting the prioritized framework proposed in this report would significantly improve the reliability, transparency, and trustworthiness of public digital services for citizens.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7">
    <w:abstractNumId w:val="6"/>
  </w:num>
  <w:num w:numId="5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