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76"/>
        <w:ind w:right="0" w:left="0" w:firstLine="0"/>
        <w:jc w:val="center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6"/>
          <w:shd w:fill="auto" w:val="clear"/>
        </w:rPr>
        <w:t xml:space="preserve">SECURITY ARCHITECTURE DESIGN &amp; NETWORK DEFENSE STRATEGY</w:t>
      </w:r>
    </w:p>
    <w:p>
      <w:pPr>
        <w:spacing w:before="0" w:after="280" w:line="276"/>
        <w:ind w:right="0" w:left="0" w:firstLine="0"/>
        <w:jc w:val="center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646E7D"/>
          <w:spacing w:val="0"/>
          <w:position w:val="0"/>
          <w:sz w:val="24"/>
          <w:shd w:fill="auto" w:val="clear"/>
        </w:rPr>
        <w:t xml:space="preserve">Robust Defense-in-Depth Architecture for Public Sector E-Governance Platforms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                                               Yuva Intern 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 NSDC  |  Week 4 Task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1. Executive Summary &amp; Design Rationale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Digital public services and e-governance platforms require a highly resilient, scalable, and secure architecture capable of withstanding advanced, persistent cyber threats while ensuring uninterrupted availability for millions of citizens. Traditional perimeter-based network security models are insufficient against modern lateral movement, credential theft, and API-based attacks.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This document outlines a comprehensive Security Architecture Design and Network Defense Strategy based on NIST SP 800-207 Zero Trust Architecture (ZTA) principles and a rigorous Defense-in-Depth framework. The architecture ensures strict identity verification, micro-segmentation, continuous behavioral monitoring, and robust cryptographic protection across all layers of the e-governance infrastructure.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2. Network Segmentation &amp; Zoning Architecture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To prevent unauthorized lateral movement and isolate critical municipal and citizen databases from public exposure, the e-governance infrastructure is segregated into isolated security zones protected by Next-Generation Firewalls (NGFW) and internal micro-segmentation gateways.</w:t>
      </w:r>
    </w:p>
    <w:tbl>
      <w:tblPr/>
      <w:tblGrid>
        <w:gridCol w:w="3312"/>
        <w:gridCol w:w="3312"/>
        <w:gridCol w:w="3312"/>
      </w:tblGrid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Security Zone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Network Tier &amp; Components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Access Control &amp; Security Controls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Zone 0: Public DMZ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Anycast CDN, DDoS Scrubbing Centers, Public Load Balancers, WAF appliances.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Strict rate limiting, Layer 7 HTTP/HTTPS inspection, CAPTCHA integration, TLS 1.3 termination.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Zone 1: Application Tier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API Gateways (e-Pramaan, DigiLocker integration), Microservices cluster, Citizen Portal nodes.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Mutual TLS (mTLS), OAuth2 token validation, API schema validation, zero direct DB access.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Zone 2: Secure Database Tier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Citizen Demographic DB, Land Registry, Tax &amp; Treasury DBs (Isolated internal subnet).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Encrypted at rest (AES-256), strict role-based access control (RBAC), database activity monitoring (DAM).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Zone 3: Management &amp; Ops Zone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SIEM collectors, EDR management console, Bastion hosts with Hardware Token MFA.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Jump box isolation, session recording, strict IP whitelisting, multi-person authorization.</w:t>
            </w:r>
          </w:p>
        </w:tc>
      </w:tr>
    </w:tbl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2.1 Visual Network Architecture Flow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t xml:space="preserve">[ Internet Citizens / Users ]</w:t>
        <w:br/>
        <w:t xml:space="preserve">   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  <w:t xml:space="preserve">   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▼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┌────────────────────────────────────────────────────────┐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t xml:space="preserve">  ZONE 0: Perimeter / DMZ (DDoS Protection &amp; WAF)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└─────────────────────────┬──────────────────────────────┘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  <w:t xml:space="preserve">                   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t xml:space="preserve"> TLS 1.3 / mTLS</w:t>
        <w:br/>
        <w:t xml:space="preserve">                   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▼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┌────────────────────────────────────────────────────────┐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t xml:space="preserve">  ZONE 1: API Gateway &amp; Application Microservices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└─────────────────────────┬──────────────────────────────┘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  <w:t xml:space="preserve">                   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t xml:space="preserve"> Zero-Trust Internal Micro-segmentation</w:t>
        <w:br/>
        <w:t xml:space="preserve">                        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▼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┌────────────────────────────────────────────────────────┐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t xml:space="preserve">  ZONE 2: Secure Database Tier (Encrypted PII Storage)  </w:t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│</w:t>
      </w:r>
      <w:r>
        <w:rPr>
          <w:rFonts w:ascii="Consolas" w:hAnsi="Consolas" w:cs="Consolas" w:eastAsia="Consolas"/>
          <w:color w:val="282828"/>
          <w:spacing w:val="0"/>
          <w:position w:val="0"/>
          <w:sz w:val="17"/>
          <w:shd w:fill="auto" w:val="clear"/>
        </w:rPr>
        <w:br/>
      </w:r>
      <w:r>
        <w:rPr>
          <w:rFonts w:ascii="Segoe UI Symbol" w:hAnsi="Segoe UI Symbol" w:cs="Segoe UI Symbol" w:eastAsia="Segoe UI Symbol"/>
          <w:color w:val="282828"/>
          <w:spacing w:val="0"/>
          <w:position w:val="0"/>
          <w:sz w:val="17"/>
          <w:shd w:fill="auto" w:val="cle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3. Core Security Controls &amp; Defense Mechanisms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3.1 Perimeter &amp; Web Application Defense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Next-Generation Firewalls (NGFW): Deployed at all zone boundaries with deep packet inspection (DPI) and application-layer awareness.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Web Application Firewalls (WAF): Signature-based and behavioral anomaly-based WAF rules to block SQL injection (SQLi), Cross-Site Scripting (XSS), and Remote Code Execution (RCE).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DDoS Mitigation: Anycast routing combined with automated scrubbing centers to absorb volumetric volumetric floods during high-traffic civic deadlines.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3.2 Host &amp; Container Security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Endpoint Detection and Response (EDR): Deployed across all virtual machines and bare-metal servers in the State Data Center for real-time behavioral telemetry.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Container Security: Immutable container images scanned during CI/CD pipelines via Software Bill of Materials (SBOM) generation and runtime vulnerability scanning.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3.3 Cryptographic Standards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Data in Transit: Mandatory enforcement of TLS 1.3 with Perfect Forward Secrecy (PFS) and strong cipher suites across all public and internal service communications.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Data at Rest: Hardware Security Module (HSM) backed AES-256 encryption for all citizen PII, tax records, and sensitive government databases.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4. Secure Configuration &amp; Hardening Standards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All infrastructure components adhere strictly to Center for Internet Security (CIS) Benchmarks and National Institute of Standards and Technology (NIST) hardening guidelines: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OS &amp; Server Hardening: Removal of unnecessary packages, disabling legacy protocols (SMBv1, Telnet, FTP), enforcing strict password complexity, and account lockout policies.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Principle of Least Privilege (PoLP): Administrative access granted strictly on a role-based, time-bounded basis utilizing Privileged Access Management (PAM) solutions with mandatory session recording.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API Gateway Hardening: Mandatory OAuth 2.0 / OpenID Connect token verification, strict request schema validation, and rate-limiting to prevent credential stuffing and brute-force harvesting.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5. Proactive Monitoring, SIEM &amp; Threat Detection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Security visibility is maintained through a centralized Security Information and Event Management (SIEM) platform integrated with User and Entity Behavior Analytics (UEBA):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Centralized Log Aggregation: Real-time ingestion of syslogs, WAF logs, firewall audit trails, authentication events, and database query logs into a tamper-evident SIEM repository.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Automated Threat Hunting: Continuous automated threat hunting playbooks searching for indicator of compromise (IoCs), anomalous API access patterns, and unauthorized privilege escalation.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Incident Response Integration: Automated ticketing and SOAR (Security Orchestration, Automation, and Response) triggers for P1 and P2 security alerts, ensuring triage within 15 minutes.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6. Compliance &amp; Industry Standards Alignment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The proposed security architecture aligns directly with national and international regulatory standards: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NIST SP 800-207: Zero Trust Architecture implementation guidelines.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ISO/IEC 27001:2022: Information security management systems requirements.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CERT-In Guidelines: National cybersecurity directives for mandatory log retention and incident reporting.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National Data Protection Legislation: Compliance frameworks ensuring citizen privacy, consent management, and data sovereignty.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