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Health Insurance Policy Document, Group Plan 402</w:t>
      </w:r>
    </w:p>
    <w:p>
      <w:r>
        <w:t>Domain: Insurance Policy — Synthetic document generated for demo purposes.</w:t>
      </w:r>
    </w:p>
    <w:p>
      <w:pPr>
        <w:pStyle w:val="Heading1"/>
      </w:pPr>
      <w:r>
        <w:t>Coverage Overview</w:t>
      </w:r>
    </w:p>
    <w:p>
      <w:r>
        <w:t>This policy covers medically necessary inpatient hospital services, outpatient surgery, emergency care, and physician office visits, subject to the deductibles and copayments described in this document.</w:t>
      </w:r>
    </w:p>
    <w:p>
      <w:r>
        <w:br w:type="page"/>
      </w:r>
    </w:p>
    <w:p>
      <w:pPr>
        <w:pStyle w:val="Heading1"/>
      </w:pPr>
      <w:r>
        <w:t>Deductibles and Copays</w:t>
      </w:r>
    </w:p>
    <w:p>
      <w:r>
        <w:t>The annual individual deductible under this plan is 1,500 dollars, and the annual family deductible is 3,000 dollars, after which coinsurance applies.</w:t>
      </w:r>
    </w:p>
    <w:p>
      <w:r>
        <w:t>After the deductible is met, the plan pays 80 percent of covered in-network charges and the member is responsible for a 20 percent coinsurance up to the annual out-of-pocket maximum.</w:t>
      </w:r>
    </w:p>
    <w:p>
      <w:r>
        <w:t>The annual out-of-pocket maximum is 6,000 dollars for an individual and 12,000 dollars for a family, inclusive of deductible, copayments, and coinsurance.</w:t>
      </w:r>
    </w:p>
    <w:p>
      <w:r>
        <w:t>A copayment of 30 dollars applies to each primary care physician office visit, and a copayment of 60 dollars applies to each specialist office visit.</w:t>
      </w:r>
    </w:p>
    <w:p>
      <w:r>
        <w:br w:type="page"/>
      </w:r>
    </w:p>
    <w:p>
      <w:pPr>
        <w:pStyle w:val="Heading1"/>
      </w:pPr>
      <w:r>
        <w:t>Exclusions</w:t>
      </w:r>
    </w:p>
    <w:p>
      <w:r>
        <w:t>This policy does not cover cosmetic surgery that is not medically necessary, experimental treatments not approved by the relevant regulatory authority, or services received outside the plan's provider network without prior authorization.</w:t>
      </w:r>
    </w:p>
    <w:p>
      <w:r>
        <w:t>Coverage does not extend to services rendered by a provider who is not licensed in the jurisdiction where the service is performed, nor to injuries sustained during the commission of a felony.</w:t>
      </w:r>
    </w:p>
    <w:p>
      <w:r>
        <w:br w:type="page"/>
      </w:r>
    </w:p>
    <w:p>
      <w:pPr>
        <w:pStyle w:val="Heading1"/>
      </w:pPr>
      <w:r>
        <w:t>Prior Authorization</w:t>
      </w:r>
    </w:p>
    <w:p>
      <w:r>
        <w:t>Prior authorization is required for all non-emergency inpatient admissions, advanced imaging such as MRI or CT scans, and any procedure with a billed cost exceeding 5,000 dollars.</w:t>
      </w:r>
    </w:p>
    <w:p>
      <w:r>
        <w:t>A prior authorization request must be submitted at least 5 business days before a scheduled non-emergency procedure, and the plan must respond within 3 business days of receiving a complete request.</w:t>
      </w:r>
    </w:p>
    <w:p>
      <w:r>
        <w:br w:type="page"/>
      </w:r>
    </w:p>
    <w:p>
      <w:pPr>
        <w:pStyle w:val="Heading1"/>
      </w:pPr>
      <w:r>
        <w:t>Claims Process</w:t>
      </w:r>
    </w:p>
    <w:p>
      <w:r>
        <w:t>A claim for reimbursement must be submitted within 180 days of the date of service, using the standard claim form along with an itemized bill from the provider.</w:t>
      </w:r>
    </w:p>
    <w:p>
      <w:r>
        <w:t>The plan must process a clean claim and issue payment or denial within 30 calendar days of receipt; failure to do so entitles the provider to interest on the unpaid amount.</w:t>
      </w:r>
    </w:p>
    <w:p>
      <w:r>
        <w:br w:type="page"/>
      </w:r>
    </w:p>
    <w:p>
      <w:pPr>
        <w:pStyle w:val="Heading1"/>
      </w:pPr>
      <w:r>
        <w:t>Appeals</w:t>
      </w:r>
    </w:p>
    <w:p>
      <w:r>
        <w:t>A member who disagrees with a claim denial may file a first-level internal appeal within 180 days of the denial notice, and the plan must issue a decision within 30 calendar days for standard appeals or 72 hours for urgent appeals.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