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numPr>
          <w:ilvl w:val="0"/>
          <w:numId w:val="1"/>
        </w:numPr>
        <w:shd w:fill="FFFFFF" w:val="clear"/>
        <w:spacing w:after="0" w:before="0" w:line="100" w:lineRule="atLeast"/>
        <w:ind w:hanging="270" w:left="270" w:right="0"/>
        <w:jc w:val="both"/>
      </w:pPr>
      <w:r>
        <w:rPr>
          <w:rFonts w:ascii="Arial" w:cs="Arial" w:eastAsia="Times New Roman" w:hAnsi="Arial"/>
          <w:color w:val="222222"/>
          <w:sz w:val="28"/>
          <w:szCs w:val="28"/>
        </w:rPr>
        <w:t> </w:t>
      </w:r>
      <w:r>
        <w:rPr>
          <w:rFonts w:ascii="Arial" w:cs="Arial" w:eastAsia="Times New Roman" w:hAnsi="Arial"/>
          <w:color w:val="222222"/>
          <w:sz w:val="28"/>
          <w:szCs w:val="28"/>
        </w:rPr>
        <w:t>Explore the DVM instructions and prepare a summary of the same atleast for 5 instructions in a detailed format</w:t>
      </w:r>
    </w:p>
    <w:p>
      <w:pPr>
        <w:pStyle w:val="style25"/>
        <w:shd w:fill="FFFFFF" w:val="clear"/>
        <w:spacing w:after="0" w:before="0" w:line="100" w:lineRule="atLeast"/>
        <w:jc w:val="both"/>
      </w:pPr>
      <w:r>
        <w:rPr>
          <w:rFonts w:ascii="Arial" w:cs="Arial" w:eastAsia="Times New Roman" w:hAnsi="Arial"/>
          <w:color w:val="222222"/>
          <w:sz w:val="28"/>
          <w:szCs w:val="28"/>
        </w:rPr>
      </w:r>
    </w:p>
    <w:p>
      <w:pPr>
        <w:pStyle w:val="style25"/>
        <w:shd w:fill="FFFFFF" w:val="clear"/>
        <w:spacing w:after="0" w:before="0" w:line="100" w:lineRule="atLeast"/>
        <w:jc w:val="both"/>
      </w:pPr>
      <w:r>
        <w:rPr>
          <w:rFonts w:ascii="Arial" w:cs="Arial" w:eastAsia="Times New Roman" w:hAnsi="Arial"/>
          <w:color w:val="222222"/>
          <w:sz w:val="28"/>
          <w:szCs w:val="28"/>
        </w:rPr>
        <w:t>i) instruction name:</w:t>
      </w:r>
    </w:p>
    <w:p>
      <w:pPr>
        <w:pStyle w:val="style25"/>
        <w:shd w:fill="FFFFFF" w:val="clear"/>
        <w:spacing w:after="0" w:before="0" w:line="100" w:lineRule="atLeast"/>
        <w:jc w:val="both"/>
      </w:pPr>
      <w:r>
        <w:rPr>
          <w:rFonts w:ascii="Arial" w:cs="Arial" w:eastAsia="Times New Roman" w:hAnsi="Arial"/>
          <w:color w:val="222222"/>
          <w:sz w:val="28"/>
          <w:szCs w:val="28"/>
        </w:rPr>
        <w:t>ii) syntax</w:t>
      </w:r>
    </w:p>
    <w:p>
      <w:pPr>
        <w:pStyle w:val="style25"/>
        <w:shd w:fill="FFFFFF" w:val="clear"/>
        <w:spacing w:after="0" w:before="0" w:line="100" w:lineRule="atLeast"/>
        <w:jc w:val="both"/>
      </w:pPr>
      <w:r>
        <w:rPr>
          <w:rFonts w:ascii="Arial" w:cs="Arial" w:eastAsia="Times New Roman" w:hAnsi="Arial"/>
          <w:b/>
          <w:bCs/>
          <w:color w:val="222222"/>
          <w:sz w:val="28"/>
          <w:szCs w:val="28"/>
          <w:shd w:fill="FFFFFF" w:val="clear"/>
        </w:rPr>
        <w:t>iii)example</w:t>
      </w:r>
    </w:p>
    <w:p>
      <w:pPr>
        <w:pStyle w:val="style25"/>
        <w:shd w:fill="FFFFFF" w:val="clear"/>
        <w:spacing w:after="0" w:before="0" w:line="100" w:lineRule="atLeast"/>
        <w:jc w:val="both"/>
      </w:pPr>
      <w:r>
        <w:rPr/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shd w:fill="FFFFFF" w:val="clear"/>
        </w:rPr>
        <w:t>Dalvik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is the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2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process virtual machine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(VM) in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3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Google's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4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Android operating system</w:t>
        </w:r>
      </w:hyperlink>
      <w:r>
        <w:rPr>
          <w:rFonts w:ascii="Arial" w:cs="Arial" w:hAnsi="Arial"/>
          <w:sz w:val="20"/>
          <w:szCs w:val="20"/>
          <w:shd w:fill="FFFFFF" w:val="clear"/>
        </w:rPr>
        <w:t>. It is the software that runs the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5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apps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on Android devices. Dalvik is thus an integral part of Android, which is typically used on mobile devices such as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6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mobile phones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and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7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tablet computers</w:t>
        </w:r>
      </w:hyperlink>
      <w:r>
        <w:rPr>
          <w:rFonts w:ascii="Arial" w:cs="Arial" w:hAnsi="Arial"/>
          <w:sz w:val="20"/>
          <w:szCs w:val="20"/>
          <w:shd w:fill="FFFFFF" w:val="clear"/>
        </w:rPr>
        <w:t>as well as more recently on embedded devices such as smart TVs and media streamers. Programs are commonly written in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8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Java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and compiled to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9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bytecode</w:t>
        </w:r>
      </w:hyperlink>
      <w:r>
        <w:rPr>
          <w:rFonts w:ascii="Arial" w:cs="Arial" w:hAnsi="Arial"/>
          <w:sz w:val="20"/>
          <w:szCs w:val="20"/>
          <w:shd w:fill="FFFFFF" w:val="clear"/>
        </w:rPr>
        <w:t>. They are then converted from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10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Java Virtual Machine</w:t>
        </w:r>
      </w:hyperlink>
      <w:r>
        <w:rPr>
          <w:rFonts w:ascii="Arial" w:cs="Arial" w:hAnsi="Arial"/>
          <w:sz w:val="20"/>
          <w:szCs w:val="20"/>
          <w:shd w:fill="FFFFFF" w:val="clear"/>
        </w:rPr>
        <w:t>-compatible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11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.class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files to Dalvik-compatible .dex (Dalvik Executable) files before installation on a device. The compact Dalvik Executable format is designed to be suitable for systems that are constrained in terms of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12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memory</w:t>
        </w:r>
      </w:hyperlink>
      <w:r>
        <w:rPr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  <w:shd w:fill="FFFFFF" w:val="clear"/>
        </w:rPr>
        <w:t>and</w:t>
      </w:r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hyperlink r:id="rId13">
        <w:r>
          <w:rPr>
            <w:rStyle w:val="style17"/>
            <w:rFonts w:ascii="Arial" w:cs="Arial" w:hAnsi="Arial"/>
            <w:color w:val="00000A"/>
            <w:sz w:val="20"/>
            <w:szCs w:val="20"/>
            <w:u w:val="none"/>
            <w:shd w:fill="FFFFFF" w:val="clear"/>
          </w:rPr>
          <w:t>processor</w:t>
        </w:r>
      </w:hyperlink>
      <w:r>
        <w:rPr>
          <w:rStyle w:val="style16"/>
          <w:rFonts w:ascii="Arial" w:cs="Arial" w:hAnsi="Arial"/>
          <w:sz w:val="20"/>
          <w:szCs w:val="20"/>
          <w:shd w:fill="FFFFFF" w:val="clear"/>
        </w:rPr>
        <w:t> </w:t>
      </w:r>
      <w:r>
        <w:rPr>
          <w:rFonts w:ascii="Arial" w:cs="Arial" w:hAnsi="Arial"/>
          <w:sz w:val="20"/>
          <w:szCs w:val="20"/>
          <w:shd w:fill="FFFFFF" w:val="clear"/>
        </w:rPr>
        <w:t>speed.</w:t>
      </w:r>
    </w:p>
    <w:p>
      <w:pPr>
        <w:pStyle w:val="style0"/>
      </w:pPr>
      <w:r>
        <w:rPr>
          <w:rFonts w:ascii="Arial" w:cs="Arial" w:hAnsi="Arial"/>
          <w:sz w:val="20"/>
          <w:szCs w:val="20"/>
          <w:shd w:fill="FFFFFF" w:val="clear"/>
        </w:rPr>
      </w:r>
    </w:p>
    <w:p>
      <w:pPr>
        <w:pStyle w:val="style25"/>
      </w:pPr>
      <w:r>
        <w:rPr>
          <w:rFonts w:ascii="Arial" w:cs="Arial" w:hAnsi="Arial"/>
          <w:sz w:val="20"/>
          <w:szCs w:val="20"/>
          <w:shd w:fill="FFFFFF" w:val="clear"/>
        </w:rPr>
        <w:t>DVM instructions are :</w:t>
      </w:r>
    </w:p>
    <w:p>
      <w:pPr>
        <w:pStyle w:val="style0"/>
      </w:pPr>
      <w:r>
        <w:rPr>
          <w:rFonts w:ascii="Arial" w:cs="Arial" w:hAnsi="Arial"/>
          <w:sz w:val="20"/>
          <w:szCs w:val="20"/>
          <w:shd w:fill="FFFFFF" w:val="clear"/>
        </w:rPr>
        <w:t>NOTE : All Vx values denote a Dalvik register.</w:t>
      </w:r>
    </w:p>
    <w:p>
      <w:pPr>
        <w:pStyle w:val="style0"/>
      </w:pPr>
      <w:r>
        <w:rPr>
          <w:rFonts w:ascii="Arial" w:cs="Arial" w:hAnsi="Arial"/>
          <w:sz w:val="20"/>
          <w:szCs w:val="20"/>
          <w:shd w:fill="FFFFFF" w:val="clear"/>
        </w:rPr>
        <w:t>1.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move</w:t>
      </w:r>
    </w:p>
    <w:p>
      <w:pPr>
        <w:pStyle w:val="style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ab/>
        <w:t>Moves the content of vy into vx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move vx,vy 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move v0, v1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2.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rStyle w:val="style16"/>
          <w:rFonts w:ascii="Arial" w:cs="Arial" w:hAnsi="Arial"/>
          <w:color w:val="000000"/>
          <w:sz w:val="20"/>
          <w:szCs w:val="20"/>
          <w:shd w:fill="FFFFFF" w:val="clear"/>
        </w:rPr>
        <w:t> 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monitor of the object</w:t>
      </w:r>
    </w:p>
    <w:p>
      <w:pPr>
        <w:pStyle w:val="style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ab/>
        <w:t>Obtains the monitor of the object referenced by vx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monitor-enter vx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monitor-enter v1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3.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instance</w:t>
      </w:r>
    </w:p>
    <w:p>
      <w:pPr>
        <w:pStyle w:val="style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ab/>
        <w:t>Checks whether vy is instance of a class identified by type_id. Sets vx non-zero if it is, 0 otherwise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instance-of vx,vy,type_id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Style w:val="style16"/>
          <w:rFonts w:ascii="Arial" w:cs="Arial" w:hAnsi="Arial"/>
          <w:color w:val="000000"/>
          <w:sz w:val="20"/>
          <w:szCs w:val="20"/>
          <w:shd w:fill="FFFFFF" w:val="clear"/>
        </w:rPr>
        <w:t> 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instance-of v0, v1, Test3 // type@0001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4.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number of elements of the array</w:t>
      </w:r>
      <w:r>
        <w:rPr>
          <w:rStyle w:val="style16"/>
          <w:rFonts w:ascii="Arial" w:cs="Arial" w:hAnsi="Arial"/>
          <w:color w:val="000000"/>
          <w:sz w:val="20"/>
          <w:szCs w:val="20"/>
          <w:shd w:fill="FFFFFF" w:val="clear"/>
        </w:rPr>
        <w:t> </w:t>
      </w:r>
    </w:p>
    <w:p>
      <w:pPr>
        <w:pStyle w:val="style0"/>
        <w:ind w:hanging="0" w:left="1440" w:right="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>Calculates the number of elements of the array referenced by vy and puts the length value into vx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array-length vx,vy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Style w:val="style16"/>
          <w:rFonts w:ascii="Arial" w:cs="Arial" w:hAnsi="Arial"/>
          <w:color w:val="000000"/>
          <w:sz w:val="20"/>
          <w:szCs w:val="20"/>
          <w:shd w:fill="FFFFFF" w:val="clear"/>
        </w:rPr>
        <w:t> 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array-length v1, v1 </w:t>
      </w:r>
    </w:p>
    <w:p>
      <w:pPr>
        <w:pStyle w:val="style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ab/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5.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 switch statement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</w:t>
      </w:r>
    </w:p>
    <w:p>
      <w:pPr>
        <w:pStyle w:val="style0"/>
        <w:ind w:hanging="0" w:left="720" w:right="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>Implements a switch statement where the case constants are close to each other. The instruction uses an index table. vx indexes into this table to find the offset of the instruction for a particular case. If vx falls out of the index table, the execution continues on the next instruction (default case)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packed-switch vx,table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packed-switch v2, 000c // +000c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6.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instruction name: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 xml:space="preserve"> iget</w:t>
      </w:r>
    </w:p>
    <w:p>
      <w:pPr>
        <w:pStyle w:val="style0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ab/>
        <w:t>Reads an instance field into vx. The instance is referenced by vy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syntax</w:t>
      </w:r>
      <w:r>
        <w:rPr>
          <w:rFonts w:cs="Calibri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iget vx, vy, field_id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Example : </w:t>
      </w:r>
      <w:r>
        <w:rPr>
          <w:rStyle w:val="style16"/>
          <w:rFonts w:ascii="Arial" w:cs="Arial" w:hAnsi="Arial"/>
          <w:color w:val="000000"/>
          <w:sz w:val="20"/>
          <w:szCs w:val="20"/>
          <w:shd w:fill="FFFFFF" w:val="clear"/>
        </w:rPr>
        <w:t> </w:t>
      </w:r>
      <w:r>
        <w:rPr>
          <w:rFonts w:ascii="Arial" w:cs="Arial" w:hAnsi="Arial"/>
          <w:color w:val="000000"/>
          <w:sz w:val="20"/>
          <w:szCs w:val="20"/>
          <w:shd w:fill="FFFFFF" w:val="clear"/>
        </w:rPr>
        <w:t>iget v0, v1, Test2.i6:I // field@0003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ListLabel 1"/>
    <w:next w:val="style18"/>
    <w:rPr>
      <w:rFonts w:cs="Arial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Process_virtual_machine" TargetMode="External"/><Relationship Id="rId3" Type="http://schemas.openxmlformats.org/officeDocument/2006/relationships/hyperlink" Target="http://en.wikipedia.org/wiki/Google" TargetMode="External"/><Relationship Id="rId4" Type="http://schemas.openxmlformats.org/officeDocument/2006/relationships/hyperlink" Target="http://en.wikipedia.org/wiki/Android_(operating_system)" TargetMode="External"/><Relationship Id="rId5" Type="http://schemas.openxmlformats.org/officeDocument/2006/relationships/hyperlink" Target="http://en.wikipedia.org/wiki/Android_Market" TargetMode="External"/><Relationship Id="rId6" Type="http://schemas.openxmlformats.org/officeDocument/2006/relationships/hyperlink" Target="http://en.wikipedia.org/wiki/Mobile_phone" TargetMode="External"/><Relationship Id="rId7" Type="http://schemas.openxmlformats.org/officeDocument/2006/relationships/hyperlink" Target="http://en.wikipedia.org/wiki/Tablet_computer" TargetMode="External"/><Relationship Id="rId8" Type="http://schemas.openxmlformats.org/officeDocument/2006/relationships/hyperlink" Target="http://en.wikipedia.org/wiki/Java_programming_language" TargetMode="External"/><Relationship Id="rId9" Type="http://schemas.openxmlformats.org/officeDocument/2006/relationships/hyperlink" Target="http://en.wikipedia.org/wiki/Bytecode" TargetMode="External"/><Relationship Id="rId10" Type="http://schemas.openxmlformats.org/officeDocument/2006/relationships/hyperlink" Target="http://en.wikipedia.org/wiki/Java_Virtual_Machine" TargetMode="External"/><Relationship Id="rId11" Type="http://schemas.openxmlformats.org/officeDocument/2006/relationships/hyperlink" Target="http://en.wikipedia.org/wiki/.class" TargetMode="External"/><Relationship Id="rId12" Type="http://schemas.openxmlformats.org/officeDocument/2006/relationships/hyperlink" Target="http://en.wikipedia.org/wiki/Random_access_memory" TargetMode="External"/><Relationship Id="rId13" Type="http://schemas.openxmlformats.org/officeDocument/2006/relationships/hyperlink" Target="http://en.wikipedia.org/wiki/Central_processing_unit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2013-11-20T10:12:00.00Z</dcterms:created>
  <dc:creator>admin</dc:creator>
  <cp:lastModifiedBy>admin</cp:lastModifiedBy>
  <dcterms:modified xsi:type="dcterms:W3CDTF">2013-11-20T10:55:00.00Z</dcterms:modified>
  <cp:revision>4</cp:revision>
</cp:coreProperties>
</file>