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822D"/>
          <w:sz w:val="56"/>
        </w:rPr>
        <w:t>THE BLING HAVEN</w:t>
      </w:r>
    </w:p>
    <w:p>
      <w:pPr>
        <w:jc w:val="center"/>
      </w:pPr>
      <w:r>
        <w:rPr>
          <w:b/>
          <w:color w:val="17324D"/>
          <w:sz w:val="44"/>
        </w:rPr>
        <w:t>MODULE-WISE DEVELOPMENT PLAN</w:t>
      </w:r>
    </w:p>
    <w:p>
      <w:pPr>
        <w:jc w:val="center"/>
      </w:pPr>
      <w:r>
        <w:rPr>
          <w:b/>
          <w:color w:val="25526E"/>
          <w:sz w:val="30"/>
        </w:rPr>
        <w:t>International Jewellery &amp; Ornaments E-Commerce Platform</w:t>
      </w:r>
    </w:p>
    <w:p>
      <w:pPr>
        <w:jc w:val="center"/>
      </w:pPr>
      <w:r>
        <w:drawing>
          <wp:inline xmlns:a="http://schemas.openxmlformats.org/drawingml/2006/main" xmlns:pic="http://schemas.openxmlformats.org/drawingml/2006/picture">
            <wp:extent cx="5303520" cy="7955280"/>
            <wp:docPr id="1" name="Picture 1"/>
            <wp:cNvGraphicFramePr>
              <a:graphicFrameLocks noChangeAspect="1"/>
            </wp:cNvGraphicFramePr>
            <a:graphic>
              <a:graphicData uri="http://schemas.openxmlformats.org/drawingml/2006/picture">
                <pic:pic>
                  <pic:nvPicPr>
                    <pic:cNvPr id="0" name="a_dark_tech_themed_infographic_poster_diagram_wi.png"/>
                    <pic:cNvPicPr/>
                  </pic:nvPicPr>
                  <pic:blipFill>
                    <a:blip r:embed="rId9"/>
                    <a:stretch>
                      <a:fillRect/>
                    </a:stretch>
                  </pic:blipFill>
                  <pic:spPr>
                    <a:xfrm>
                      <a:off x="0" y="0"/>
                      <a:ext cx="5303520" cy="7955280"/>
                    </a:xfrm>
                    <a:prstGeom prst="rect"/>
                  </pic:spPr>
                </pic:pic>
              </a:graphicData>
            </a:graphic>
          </wp:inline>
        </w:drawing>
      </w:r>
    </w:p>
    <w:p>
      <w:pPr>
        <w:jc w:val="center"/>
      </w:pPr>
      <w:r>
        <w:rPr>
          <w:color w:val="464646"/>
          <w:sz w:val="20"/>
        </w:rPr>
        <w:t>Admin Platform → Catalog → Storefront → Commerce → Security → Scale → Production</w:t>
      </w:r>
    </w:p>
    <w:p>
      <w:pPr>
        <w:jc w:val="center"/>
      </w:pPr>
      <w:r>
        <w:rPr>
          <w:color w:val="5A5A5A"/>
          <w:sz w:val="18"/>
        </w:rPr>
        <w:t>Reference storefront: theblinghaven.shop</w:t>
        <w:br/>
        <w:t>Version 1.0 | 15 August 2026</w:t>
      </w:r>
    </w:p>
    <w:p>
      <w:r>
        <w:br w:type="page"/>
      </w:r>
    </w:p>
    <w:p>
      <w:pPr>
        <w:pStyle w:val="Heading1"/>
        <w:keepNext/>
      </w:pPr>
      <w:r>
        <w:t>1. Purpose of This Development Plan</w:t>
      </w:r>
    </w:p>
    <w:p>
      <w:r>
        <w:t>This document breaks the large The Bling Haven international jewellery e-commerce project into controlled modules that can be designed, developed, secured, tested and accepted independently. Each module includes UI/UX, frontend, backend, database/API, security, testing and acceptance considerations.</w:t>
      </w:r>
    </w:p>
    <w:p>
      <w:r>
        <w:t>The recommended approach is to build the security and admin foundation first, then progressively add catalog, storefront and commerce capabilities. No later module should bypass the common authentication, authorization, audit, validation, logging and monitoring foundations.</w:t>
      </w:r>
    </w:p>
    <w:p>
      <w:pPr>
        <w:pStyle w:val="Heading1"/>
        <w:keepNext/>
      </w:pPr>
      <w:r>
        <w:t>2. Core Development Principles</w:t>
      </w:r>
    </w:p>
    <w:p>
      <w:pPr>
        <w:pStyle w:val="ListBullet"/>
        <w:spacing w:after="40"/>
      </w:pPr>
      <w:r>
        <w:t>Build backend security together with the UI; do not treat security as a post-development activity.</w:t>
      </w:r>
    </w:p>
    <w:p>
      <w:pPr>
        <w:pStyle w:val="ListBullet"/>
        <w:spacing w:after="40"/>
      </w:pPr>
      <w:r>
        <w:t>Use server-authoritative pricing, inventory, permissions and payment state.</w:t>
      </w:r>
    </w:p>
    <w:p>
      <w:pPr>
        <w:pStyle w:val="ListBullet"/>
        <w:spacing w:after="40"/>
      </w:pPr>
      <w:r>
        <w:t>Every module must have explicit ownership, API contracts, database changes, tests and acceptance criteria.</w:t>
      </w:r>
    </w:p>
    <w:p>
      <w:pPr>
        <w:pStyle w:val="ListBullet"/>
        <w:spacing w:after="40"/>
      </w:pPr>
      <w:r>
        <w:t>Use least privilege and defense-in-depth for all administrative functionality.</w:t>
      </w:r>
    </w:p>
    <w:p>
      <w:pPr>
        <w:pStyle w:val="ListBullet"/>
        <w:spacing w:after="40"/>
      </w:pPr>
      <w:r>
        <w:t>Keep production databases, Redis and internal services on private networks.</w:t>
      </w:r>
    </w:p>
    <w:p>
      <w:pPr>
        <w:pStyle w:val="ListBullet"/>
        <w:spacing w:after="40"/>
      </w:pPr>
      <w:r>
        <w:t>Use CDN/WAF/DDoS/bot controls before exposing production traffic.</w:t>
      </w:r>
    </w:p>
    <w:p>
      <w:pPr>
        <w:pStyle w:val="ListBullet"/>
        <w:spacing w:after="40"/>
      </w:pPr>
      <w:r>
        <w:t>Design for internationalization from the beginning rather than adding locales later.</w:t>
      </w:r>
    </w:p>
    <w:p>
      <w:pPr>
        <w:pStyle w:val="ListBullet"/>
        <w:spacing w:after="40"/>
      </w:pPr>
      <w:r>
        <w:t>Treat high-value jewellery commerce as a fraud-sensitive environment.</w:t>
      </w:r>
    </w:p>
    <w:p>
      <w:pPr>
        <w:pStyle w:val="Heading1"/>
        <w:keepNext/>
      </w:pPr>
      <w:r>
        <w:t>3. Overall Module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tcPr>
          <w:p>
            <w:r/>
            <w:r>
              <w:rPr>
                <w:b/>
                <w:color w:val="FFFFFF"/>
                <w:sz w:val="16"/>
              </w:rPr>
              <w:t>Phase</w:t>
            </w:r>
          </w:p>
        </w:tc>
        <w:tc>
          <w:tcPr>
            <w:tcW w:type="dxa" w:w="2556"/>
            <w:shd w:fill="17324D"/>
          </w:tcPr>
          <w:p>
            <w:r/>
            <w:r>
              <w:rPr>
                <w:b/>
                <w:color w:val="FFFFFF"/>
                <w:sz w:val="16"/>
              </w:rPr>
              <w:t>Module</w:t>
            </w:r>
          </w:p>
        </w:tc>
        <w:tc>
          <w:tcPr>
            <w:tcW w:type="dxa" w:w="2556"/>
            <w:shd w:fill="17324D"/>
          </w:tcPr>
          <w:p>
            <w:r/>
            <w:r>
              <w:rPr>
                <w:b/>
                <w:color w:val="FFFFFF"/>
                <w:sz w:val="16"/>
              </w:rPr>
              <w:t>Priority</w:t>
            </w:r>
          </w:p>
        </w:tc>
        <w:tc>
          <w:tcPr>
            <w:tcW w:type="dxa" w:w="2556"/>
            <w:shd w:fill="17324D"/>
          </w:tcPr>
          <w:p>
            <w:r/>
            <w:r>
              <w:rPr>
                <w:b/>
                <w:color w:val="FFFFFF"/>
                <w:sz w:val="16"/>
              </w:rPr>
              <w:t>Primary Outcome</w:t>
            </w:r>
          </w:p>
        </w:tc>
      </w:tr>
      <w:tr>
        <w:tc>
          <w:tcPr>
            <w:tcW w:type="dxa" w:w="2556"/>
            <w:vAlign w:val="center"/>
          </w:tcPr>
          <w:p>
            <w:r/>
            <w:r>
              <w:rPr>
                <w:sz w:val="15"/>
              </w:rPr>
              <w:t>1</w:t>
            </w:r>
          </w:p>
        </w:tc>
        <w:tc>
          <w:tcPr>
            <w:tcW w:type="dxa" w:w="2556"/>
            <w:vAlign w:val="center"/>
          </w:tcPr>
          <w:p>
            <w:r/>
            <w:r>
              <w:rPr>
                <w:sz w:val="15"/>
              </w:rPr>
              <w:t>Admin Authentication &amp; Security Foundation</w:t>
            </w:r>
          </w:p>
        </w:tc>
        <w:tc>
          <w:tcPr>
            <w:tcW w:type="dxa" w:w="2556"/>
            <w:vAlign w:val="center"/>
          </w:tcPr>
          <w:p>
            <w:r/>
            <w:r>
              <w:rPr>
                <w:sz w:val="15"/>
              </w:rPr>
              <w:t>CRITICAL</w:t>
            </w:r>
          </w:p>
        </w:tc>
        <w:tc>
          <w:tcPr>
            <w:tcW w:type="dxa" w:w="2556"/>
            <w:vAlign w:val="center"/>
          </w:tcPr>
          <w:p>
            <w:r/>
            <w:r>
              <w:rPr>
                <w:sz w:val="15"/>
              </w:rPr>
              <w:t>Secure admin access, MFA, sessions, password lifecycle</w:t>
            </w:r>
          </w:p>
        </w:tc>
      </w:tr>
      <w:tr>
        <w:tc>
          <w:tcPr>
            <w:tcW w:type="dxa" w:w="2556"/>
            <w:vAlign w:val="center"/>
            <w:shd w:fill="EEF4F8"/>
          </w:tcPr>
          <w:p>
            <w:r/>
            <w:r>
              <w:rPr>
                <w:sz w:val="15"/>
              </w:rPr>
              <w:t>2</w:t>
            </w:r>
          </w:p>
        </w:tc>
        <w:tc>
          <w:tcPr>
            <w:tcW w:type="dxa" w:w="2556"/>
            <w:vAlign w:val="center"/>
            <w:shd w:fill="EEF4F8"/>
          </w:tcPr>
          <w:p>
            <w:r/>
            <w:r>
              <w:rPr>
                <w:sz w:val="15"/>
              </w:rPr>
              <w:t>Admin Portal Shell &amp; Dashboard</w:t>
            </w:r>
          </w:p>
        </w:tc>
        <w:tc>
          <w:tcPr>
            <w:tcW w:type="dxa" w:w="2556"/>
            <w:vAlign w:val="center"/>
            <w:shd w:fill="EEF4F8"/>
          </w:tcPr>
          <w:p>
            <w:r/>
            <w:r>
              <w:rPr>
                <w:sz w:val="15"/>
              </w:rPr>
              <w:t>CRITICAL</w:t>
            </w:r>
          </w:p>
        </w:tc>
        <w:tc>
          <w:tcPr>
            <w:tcW w:type="dxa" w:w="2556"/>
            <w:vAlign w:val="center"/>
            <w:shd w:fill="EEF4F8"/>
          </w:tcPr>
          <w:p>
            <w:r/>
            <w:r>
              <w:rPr>
                <w:sz w:val="15"/>
              </w:rPr>
              <w:t>Navigation shell, KPIs, notifications, global layout</w:t>
            </w:r>
          </w:p>
        </w:tc>
      </w:tr>
      <w:tr>
        <w:tc>
          <w:tcPr>
            <w:tcW w:type="dxa" w:w="2556"/>
            <w:vAlign w:val="center"/>
          </w:tcPr>
          <w:p>
            <w:r/>
            <w:r>
              <w:rPr>
                <w:sz w:val="15"/>
              </w:rPr>
              <w:t>3</w:t>
            </w:r>
          </w:p>
        </w:tc>
        <w:tc>
          <w:tcPr>
            <w:tcW w:type="dxa" w:w="2556"/>
            <w:vAlign w:val="center"/>
          </w:tcPr>
          <w:p>
            <w:r/>
            <w:r>
              <w:rPr>
                <w:sz w:val="15"/>
              </w:rPr>
              <w:t>Admin Users / Roles / Permissions</w:t>
            </w:r>
          </w:p>
        </w:tc>
        <w:tc>
          <w:tcPr>
            <w:tcW w:type="dxa" w:w="2556"/>
            <w:vAlign w:val="center"/>
          </w:tcPr>
          <w:p>
            <w:r/>
            <w:r>
              <w:rPr>
                <w:sz w:val="15"/>
              </w:rPr>
              <w:t>CRITICAL</w:t>
            </w:r>
          </w:p>
        </w:tc>
        <w:tc>
          <w:tcPr>
            <w:tcW w:type="dxa" w:w="2556"/>
            <w:vAlign w:val="center"/>
          </w:tcPr>
          <w:p>
            <w:r/>
            <w:r>
              <w:rPr>
                <w:sz w:val="15"/>
              </w:rPr>
              <w:t>RBAC and privileged-access controls</w:t>
            </w:r>
          </w:p>
        </w:tc>
      </w:tr>
      <w:tr>
        <w:tc>
          <w:tcPr>
            <w:tcW w:type="dxa" w:w="2556"/>
            <w:vAlign w:val="center"/>
            <w:shd w:fill="EEF4F8"/>
          </w:tcPr>
          <w:p>
            <w:r/>
            <w:r>
              <w:rPr>
                <w:sz w:val="15"/>
              </w:rPr>
              <w:t>4</w:t>
            </w:r>
          </w:p>
        </w:tc>
        <w:tc>
          <w:tcPr>
            <w:tcW w:type="dxa" w:w="2556"/>
            <w:vAlign w:val="center"/>
            <w:shd w:fill="EEF4F8"/>
          </w:tcPr>
          <w:p>
            <w:r/>
            <w:r>
              <w:rPr>
                <w:sz w:val="15"/>
              </w:rPr>
              <w:t>CMS / Pages Management</w:t>
            </w:r>
          </w:p>
        </w:tc>
        <w:tc>
          <w:tcPr>
            <w:tcW w:type="dxa" w:w="2556"/>
            <w:vAlign w:val="center"/>
            <w:shd w:fill="EEF4F8"/>
          </w:tcPr>
          <w:p>
            <w:r/>
            <w:r>
              <w:rPr>
                <w:sz w:val="15"/>
              </w:rPr>
              <w:t>CRITICAL</w:t>
            </w:r>
          </w:p>
        </w:tc>
        <w:tc>
          <w:tcPr>
            <w:tcW w:type="dxa" w:w="2556"/>
            <w:vAlign w:val="center"/>
            <w:shd w:fill="EEF4F8"/>
          </w:tcPr>
          <w:p>
            <w:r/>
            <w:r>
              <w:rPr>
                <w:sz w:val="15"/>
              </w:rPr>
              <w:t>Admin-controlled website pages and content publishing</w:t>
            </w:r>
          </w:p>
        </w:tc>
      </w:tr>
      <w:tr>
        <w:tc>
          <w:tcPr>
            <w:tcW w:type="dxa" w:w="2556"/>
            <w:vAlign w:val="center"/>
          </w:tcPr>
          <w:p>
            <w:r/>
            <w:r>
              <w:rPr>
                <w:sz w:val="15"/>
              </w:rPr>
              <w:t>5</w:t>
            </w:r>
          </w:p>
        </w:tc>
        <w:tc>
          <w:tcPr>
            <w:tcW w:type="dxa" w:w="2556"/>
            <w:vAlign w:val="center"/>
          </w:tcPr>
          <w:p>
            <w:r/>
            <w:r>
              <w:rPr>
                <w:sz w:val="15"/>
              </w:rPr>
              <w:t>Media / Image / Video Management</w:t>
            </w:r>
          </w:p>
        </w:tc>
        <w:tc>
          <w:tcPr>
            <w:tcW w:type="dxa" w:w="2556"/>
            <w:vAlign w:val="center"/>
          </w:tcPr>
          <w:p>
            <w:r/>
            <w:r>
              <w:rPr>
                <w:sz w:val="15"/>
              </w:rPr>
              <w:t>CRITICAL</w:t>
            </w:r>
          </w:p>
        </w:tc>
        <w:tc>
          <w:tcPr>
            <w:tcW w:type="dxa" w:w="2556"/>
            <w:vAlign w:val="center"/>
          </w:tcPr>
          <w:p>
            <w:r/>
            <w:r>
              <w:rPr>
                <w:sz w:val="15"/>
              </w:rPr>
              <w:t>Secure asset upload and CDN delivery</w:t>
            </w:r>
          </w:p>
        </w:tc>
      </w:tr>
      <w:tr>
        <w:tc>
          <w:tcPr>
            <w:tcW w:type="dxa" w:w="2556"/>
            <w:vAlign w:val="center"/>
            <w:shd w:fill="EEF4F8"/>
          </w:tcPr>
          <w:p>
            <w:r/>
            <w:r>
              <w:rPr>
                <w:sz w:val="15"/>
              </w:rPr>
              <w:t>6</w:t>
            </w:r>
          </w:p>
        </w:tc>
        <w:tc>
          <w:tcPr>
            <w:tcW w:type="dxa" w:w="2556"/>
            <w:vAlign w:val="center"/>
            <w:shd w:fill="EEF4F8"/>
          </w:tcPr>
          <w:p>
            <w:r/>
            <w:r>
              <w:rPr>
                <w:sz w:val="15"/>
              </w:rPr>
              <w:t>Categories &amp; Jewellery Attributes</w:t>
            </w:r>
          </w:p>
        </w:tc>
        <w:tc>
          <w:tcPr>
            <w:tcW w:type="dxa" w:w="2556"/>
            <w:vAlign w:val="center"/>
            <w:shd w:fill="EEF4F8"/>
          </w:tcPr>
          <w:p>
            <w:r/>
            <w:r>
              <w:rPr>
                <w:sz w:val="15"/>
              </w:rPr>
              <w:t>CRITICAL</w:t>
            </w:r>
          </w:p>
        </w:tc>
        <w:tc>
          <w:tcPr>
            <w:tcW w:type="dxa" w:w="2556"/>
            <w:vAlign w:val="center"/>
            <w:shd w:fill="EEF4F8"/>
          </w:tcPr>
          <w:p>
            <w:r/>
            <w:r>
              <w:rPr>
                <w:sz w:val="15"/>
              </w:rPr>
              <w:t>Flexible jewellery taxonomy and specifications</w:t>
            </w:r>
          </w:p>
        </w:tc>
      </w:tr>
      <w:tr>
        <w:tc>
          <w:tcPr>
            <w:tcW w:type="dxa" w:w="2556"/>
            <w:vAlign w:val="center"/>
          </w:tcPr>
          <w:p>
            <w:r/>
            <w:r>
              <w:rPr>
                <w:sz w:val="15"/>
              </w:rPr>
              <w:t>7</w:t>
            </w:r>
          </w:p>
        </w:tc>
        <w:tc>
          <w:tcPr>
            <w:tcW w:type="dxa" w:w="2556"/>
            <w:vAlign w:val="center"/>
          </w:tcPr>
          <w:p>
            <w:r/>
            <w:r>
              <w:rPr>
                <w:sz w:val="15"/>
              </w:rPr>
              <w:t>Products &amp; Variants</w:t>
            </w:r>
          </w:p>
        </w:tc>
        <w:tc>
          <w:tcPr>
            <w:tcW w:type="dxa" w:w="2556"/>
            <w:vAlign w:val="center"/>
          </w:tcPr>
          <w:p>
            <w:r/>
            <w:r>
              <w:rPr>
                <w:sz w:val="15"/>
              </w:rPr>
              <w:t>CRITICAL</w:t>
            </w:r>
          </w:p>
        </w:tc>
        <w:tc>
          <w:tcPr>
            <w:tcW w:type="dxa" w:w="2556"/>
            <w:vAlign w:val="center"/>
          </w:tcPr>
          <w:p>
            <w:r/>
            <w:r>
              <w:rPr>
                <w:sz w:val="15"/>
              </w:rPr>
              <w:t>Product catalog and SKU/variant system</w:t>
            </w:r>
          </w:p>
        </w:tc>
      </w:tr>
      <w:tr>
        <w:tc>
          <w:tcPr>
            <w:tcW w:type="dxa" w:w="2556"/>
            <w:vAlign w:val="center"/>
            <w:shd w:fill="EEF4F8"/>
          </w:tcPr>
          <w:p>
            <w:r/>
            <w:r>
              <w:rPr>
                <w:sz w:val="15"/>
              </w:rPr>
              <w:t>8</w:t>
            </w:r>
          </w:p>
        </w:tc>
        <w:tc>
          <w:tcPr>
            <w:tcW w:type="dxa" w:w="2556"/>
            <w:vAlign w:val="center"/>
            <w:shd w:fill="EEF4F8"/>
          </w:tcPr>
          <w:p>
            <w:r/>
            <w:r>
              <w:rPr>
                <w:sz w:val="15"/>
              </w:rPr>
              <w:t>Pricing / Currency / Promotions</w:t>
            </w:r>
          </w:p>
        </w:tc>
        <w:tc>
          <w:tcPr>
            <w:tcW w:type="dxa" w:w="2556"/>
            <w:vAlign w:val="center"/>
            <w:shd w:fill="EEF4F8"/>
          </w:tcPr>
          <w:p>
            <w:r/>
            <w:r>
              <w:rPr>
                <w:sz w:val="15"/>
              </w:rPr>
              <w:t>CRITICAL</w:t>
            </w:r>
          </w:p>
        </w:tc>
        <w:tc>
          <w:tcPr>
            <w:tcW w:type="dxa" w:w="2556"/>
            <w:vAlign w:val="center"/>
            <w:shd w:fill="EEF4F8"/>
          </w:tcPr>
          <w:p>
            <w:r/>
            <w:r>
              <w:rPr>
                <w:sz w:val="15"/>
              </w:rPr>
              <w:t>International price books, promotions and server-side pricing</w:t>
            </w:r>
          </w:p>
        </w:tc>
      </w:tr>
      <w:tr>
        <w:tc>
          <w:tcPr>
            <w:tcW w:type="dxa" w:w="2556"/>
            <w:vAlign w:val="center"/>
          </w:tcPr>
          <w:p>
            <w:r/>
            <w:r>
              <w:rPr>
                <w:sz w:val="15"/>
              </w:rPr>
              <w:t>9</w:t>
            </w:r>
          </w:p>
        </w:tc>
        <w:tc>
          <w:tcPr>
            <w:tcW w:type="dxa" w:w="2556"/>
            <w:vAlign w:val="center"/>
          </w:tcPr>
          <w:p>
            <w:r/>
            <w:r>
              <w:rPr>
                <w:sz w:val="15"/>
              </w:rPr>
              <w:t>Inventory Management</w:t>
            </w:r>
          </w:p>
        </w:tc>
        <w:tc>
          <w:tcPr>
            <w:tcW w:type="dxa" w:w="2556"/>
            <w:vAlign w:val="center"/>
          </w:tcPr>
          <w:p>
            <w:r/>
            <w:r>
              <w:rPr>
                <w:sz w:val="15"/>
              </w:rPr>
              <w:t>CRITICAL</w:t>
            </w:r>
          </w:p>
        </w:tc>
        <w:tc>
          <w:tcPr>
            <w:tcW w:type="dxa" w:w="2556"/>
            <w:vAlign w:val="center"/>
          </w:tcPr>
          <w:p>
            <w:r/>
            <w:r>
              <w:rPr>
                <w:sz w:val="15"/>
              </w:rPr>
              <w:t>Stock, reservation and concurrency controls</w:t>
            </w:r>
          </w:p>
        </w:tc>
      </w:tr>
      <w:tr>
        <w:tc>
          <w:tcPr>
            <w:tcW w:type="dxa" w:w="2556"/>
            <w:vAlign w:val="center"/>
            <w:shd w:fill="EEF4F8"/>
          </w:tcPr>
          <w:p>
            <w:r/>
            <w:r>
              <w:rPr>
                <w:sz w:val="15"/>
              </w:rPr>
              <w:t>10</w:t>
            </w:r>
          </w:p>
        </w:tc>
        <w:tc>
          <w:tcPr>
            <w:tcW w:type="dxa" w:w="2556"/>
            <w:vAlign w:val="center"/>
            <w:shd w:fill="EEF4F8"/>
          </w:tcPr>
          <w:p>
            <w:r/>
            <w:r>
              <w:rPr>
                <w:sz w:val="15"/>
              </w:rPr>
              <w:t>Customer Management</w:t>
            </w:r>
          </w:p>
        </w:tc>
        <w:tc>
          <w:tcPr>
            <w:tcW w:type="dxa" w:w="2556"/>
            <w:vAlign w:val="center"/>
            <w:shd w:fill="EEF4F8"/>
          </w:tcPr>
          <w:p>
            <w:r/>
            <w:r>
              <w:rPr>
                <w:sz w:val="15"/>
              </w:rPr>
              <w:t>HIGH</w:t>
            </w:r>
          </w:p>
        </w:tc>
        <w:tc>
          <w:tcPr>
            <w:tcW w:type="dxa" w:w="2556"/>
            <w:vAlign w:val="center"/>
            <w:shd w:fill="EEF4F8"/>
          </w:tcPr>
          <w:p>
            <w:r/>
            <w:r>
              <w:rPr>
                <w:sz w:val="15"/>
              </w:rPr>
              <w:t>Customer support and controlled customer records</w:t>
            </w:r>
          </w:p>
        </w:tc>
      </w:tr>
      <w:tr>
        <w:tc>
          <w:tcPr>
            <w:tcW w:type="dxa" w:w="2556"/>
            <w:vAlign w:val="center"/>
          </w:tcPr>
          <w:p>
            <w:r/>
            <w:r>
              <w:rPr>
                <w:sz w:val="15"/>
              </w:rPr>
              <w:t>11</w:t>
            </w:r>
          </w:p>
        </w:tc>
        <w:tc>
          <w:tcPr>
            <w:tcW w:type="dxa" w:w="2556"/>
            <w:vAlign w:val="center"/>
          </w:tcPr>
          <w:p>
            <w:r/>
            <w:r>
              <w:rPr>
                <w:sz w:val="15"/>
              </w:rPr>
              <w:t>Storefront Foundation</w:t>
            </w:r>
          </w:p>
        </w:tc>
        <w:tc>
          <w:tcPr>
            <w:tcW w:type="dxa" w:w="2556"/>
            <w:vAlign w:val="center"/>
          </w:tcPr>
          <w:p>
            <w:r/>
            <w:r>
              <w:rPr>
                <w:sz w:val="15"/>
              </w:rPr>
              <w:t>CRITICAL</w:t>
            </w:r>
          </w:p>
        </w:tc>
        <w:tc>
          <w:tcPr>
            <w:tcW w:type="dxa" w:w="2556"/>
            <w:vAlign w:val="center"/>
          </w:tcPr>
          <w:p>
            <w:r/>
            <w:r>
              <w:rPr>
                <w:sz w:val="15"/>
              </w:rPr>
              <w:t>Header, navigation, localization and global UI</w:t>
            </w:r>
          </w:p>
        </w:tc>
      </w:tr>
      <w:tr>
        <w:tc>
          <w:tcPr>
            <w:tcW w:type="dxa" w:w="2556"/>
            <w:vAlign w:val="center"/>
            <w:shd w:fill="EEF4F8"/>
          </w:tcPr>
          <w:p>
            <w:r/>
            <w:r>
              <w:rPr>
                <w:sz w:val="15"/>
              </w:rPr>
              <w:t>12</w:t>
            </w:r>
          </w:p>
        </w:tc>
        <w:tc>
          <w:tcPr>
            <w:tcW w:type="dxa" w:w="2556"/>
            <w:vAlign w:val="center"/>
            <w:shd w:fill="EEF4F8"/>
          </w:tcPr>
          <w:p>
            <w:r/>
            <w:r>
              <w:rPr>
                <w:sz w:val="15"/>
              </w:rPr>
              <w:t>Home / Category / Search</w:t>
            </w:r>
          </w:p>
        </w:tc>
        <w:tc>
          <w:tcPr>
            <w:tcW w:type="dxa" w:w="2556"/>
            <w:vAlign w:val="center"/>
            <w:shd w:fill="EEF4F8"/>
          </w:tcPr>
          <w:p>
            <w:r/>
            <w:r>
              <w:rPr>
                <w:sz w:val="15"/>
              </w:rPr>
              <w:t>CRITICAL</w:t>
            </w:r>
          </w:p>
        </w:tc>
        <w:tc>
          <w:tcPr>
            <w:tcW w:type="dxa" w:w="2556"/>
            <w:vAlign w:val="center"/>
            <w:shd w:fill="EEF4F8"/>
          </w:tcPr>
          <w:p>
            <w:r/>
            <w:r>
              <w:rPr>
                <w:sz w:val="15"/>
              </w:rPr>
              <w:t>Product discovery experience</w:t>
            </w:r>
          </w:p>
        </w:tc>
      </w:tr>
      <w:tr>
        <w:tc>
          <w:tcPr>
            <w:tcW w:type="dxa" w:w="2556"/>
            <w:vAlign w:val="center"/>
          </w:tcPr>
          <w:p>
            <w:r/>
            <w:r>
              <w:rPr>
                <w:sz w:val="15"/>
              </w:rPr>
              <w:t>13</w:t>
            </w:r>
          </w:p>
        </w:tc>
        <w:tc>
          <w:tcPr>
            <w:tcW w:type="dxa" w:w="2556"/>
            <w:vAlign w:val="center"/>
          </w:tcPr>
          <w:p>
            <w:r/>
            <w:r>
              <w:rPr>
                <w:sz w:val="15"/>
              </w:rPr>
              <w:t>Product Detail / Wishlist / Compare</w:t>
            </w:r>
          </w:p>
        </w:tc>
        <w:tc>
          <w:tcPr>
            <w:tcW w:type="dxa" w:w="2556"/>
            <w:vAlign w:val="center"/>
          </w:tcPr>
          <w:p>
            <w:r/>
            <w:r>
              <w:rPr>
                <w:sz w:val="15"/>
              </w:rPr>
              <w:t>CRITICAL</w:t>
            </w:r>
          </w:p>
        </w:tc>
        <w:tc>
          <w:tcPr>
            <w:tcW w:type="dxa" w:w="2556"/>
            <w:vAlign w:val="center"/>
          </w:tcPr>
          <w:p>
            <w:r/>
            <w:r>
              <w:rPr>
                <w:sz w:val="15"/>
              </w:rPr>
              <w:t>Conversion-focused jewellery experience</w:t>
            </w:r>
          </w:p>
        </w:tc>
      </w:tr>
      <w:tr>
        <w:tc>
          <w:tcPr>
            <w:tcW w:type="dxa" w:w="2556"/>
            <w:vAlign w:val="center"/>
            <w:shd w:fill="EEF4F8"/>
          </w:tcPr>
          <w:p>
            <w:r/>
            <w:r>
              <w:rPr>
                <w:sz w:val="15"/>
              </w:rPr>
              <w:t>14</w:t>
            </w:r>
          </w:p>
        </w:tc>
        <w:tc>
          <w:tcPr>
            <w:tcW w:type="dxa" w:w="2556"/>
            <w:vAlign w:val="center"/>
            <w:shd w:fill="EEF4F8"/>
          </w:tcPr>
          <w:p>
            <w:r/>
            <w:r>
              <w:rPr>
                <w:sz w:val="15"/>
              </w:rPr>
              <w:t>Cart</w:t>
            </w:r>
          </w:p>
        </w:tc>
        <w:tc>
          <w:tcPr>
            <w:tcW w:type="dxa" w:w="2556"/>
            <w:vAlign w:val="center"/>
            <w:shd w:fill="EEF4F8"/>
          </w:tcPr>
          <w:p>
            <w:r/>
            <w:r>
              <w:rPr>
                <w:sz w:val="15"/>
              </w:rPr>
              <w:t>CRITICAL</w:t>
            </w:r>
          </w:p>
        </w:tc>
        <w:tc>
          <w:tcPr>
            <w:tcW w:type="dxa" w:w="2556"/>
            <w:vAlign w:val="center"/>
            <w:shd w:fill="EEF4F8"/>
          </w:tcPr>
          <w:p>
            <w:r/>
            <w:r>
              <w:rPr>
                <w:sz w:val="15"/>
              </w:rPr>
              <w:t>Secure, persistent, server-authoritative cart</w:t>
            </w:r>
          </w:p>
        </w:tc>
      </w:tr>
      <w:tr>
        <w:tc>
          <w:tcPr>
            <w:tcW w:type="dxa" w:w="2556"/>
            <w:vAlign w:val="center"/>
          </w:tcPr>
          <w:p>
            <w:r/>
            <w:r>
              <w:rPr>
                <w:sz w:val="15"/>
              </w:rPr>
              <w:t>15</w:t>
            </w:r>
          </w:p>
        </w:tc>
        <w:tc>
          <w:tcPr>
            <w:tcW w:type="dxa" w:w="2556"/>
            <w:vAlign w:val="center"/>
          </w:tcPr>
          <w:p>
            <w:r/>
            <w:r>
              <w:rPr>
                <w:sz w:val="15"/>
              </w:rPr>
              <w:t>Checkout / Shipping / Tax</w:t>
            </w:r>
          </w:p>
        </w:tc>
        <w:tc>
          <w:tcPr>
            <w:tcW w:type="dxa" w:w="2556"/>
            <w:vAlign w:val="center"/>
          </w:tcPr>
          <w:p>
            <w:r/>
            <w:r>
              <w:rPr>
                <w:sz w:val="15"/>
              </w:rPr>
              <w:t>CRITICAL</w:t>
            </w:r>
          </w:p>
        </w:tc>
        <w:tc>
          <w:tcPr>
            <w:tcW w:type="dxa" w:w="2556"/>
            <w:vAlign w:val="center"/>
          </w:tcPr>
          <w:p>
            <w:r/>
            <w:r>
              <w:rPr>
                <w:sz w:val="15"/>
              </w:rPr>
              <w:t>International checkout workflow</w:t>
            </w:r>
          </w:p>
        </w:tc>
      </w:tr>
      <w:tr>
        <w:tc>
          <w:tcPr>
            <w:tcW w:type="dxa" w:w="2556"/>
            <w:vAlign w:val="center"/>
            <w:shd w:fill="EEF4F8"/>
          </w:tcPr>
          <w:p>
            <w:r/>
            <w:r>
              <w:rPr>
                <w:sz w:val="15"/>
              </w:rPr>
              <w:t>16</w:t>
            </w:r>
          </w:p>
        </w:tc>
        <w:tc>
          <w:tcPr>
            <w:tcW w:type="dxa" w:w="2556"/>
            <w:vAlign w:val="center"/>
            <w:shd w:fill="EEF4F8"/>
          </w:tcPr>
          <w:p>
            <w:r/>
            <w:r>
              <w:rPr>
                <w:sz w:val="15"/>
              </w:rPr>
              <w:t>Payment / Fraud Protection</w:t>
            </w:r>
          </w:p>
        </w:tc>
        <w:tc>
          <w:tcPr>
            <w:tcW w:type="dxa" w:w="2556"/>
            <w:vAlign w:val="center"/>
            <w:shd w:fill="EEF4F8"/>
          </w:tcPr>
          <w:p>
            <w:r/>
            <w:r>
              <w:rPr>
                <w:sz w:val="15"/>
              </w:rPr>
              <w:t>CRITICAL</w:t>
            </w:r>
          </w:p>
        </w:tc>
        <w:tc>
          <w:tcPr>
            <w:tcW w:type="dxa" w:w="2556"/>
            <w:vAlign w:val="center"/>
            <w:shd w:fill="EEF4F8"/>
          </w:tcPr>
          <w:p>
            <w:r/>
            <w:r>
              <w:rPr>
                <w:sz w:val="15"/>
              </w:rPr>
              <w:t>Secure payment orchestration</w:t>
            </w:r>
          </w:p>
        </w:tc>
      </w:tr>
      <w:tr>
        <w:tc>
          <w:tcPr>
            <w:tcW w:type="dxa" w:w="2556"/>
            <w:vAlign w:val="center"/>
          </w:tcPr>
          <w:p>
            <w:r/>
            <w:r>
              <w:rPr>
                <w:sz w:val="15"/>
              </w:rPr>
              <w:t>17</w:t>
            </w:r>
          </w:p>
        </w:tc>
        <w:tc>
          <w:tcPr>
            <w:tcW w:type="dxa" w:w="2556"/>
            <w:vAlign w:val="center"/>
          </w:tcPr>
          <w:p>
            <w:r/>
            <w:r>
              <w:rPr>
                <w:sz w:val="15"/>
              </w:rPr>
              <w:t>Orders / Fulfillment / Tracking</w:t>
            </w:r>
          </w:p>
        </w:tc>
        <w:tc>
          <w:tcPr>
            <w:tcW w:type="dxa" w:w="2556"/>
            <w:vAlign w:val="center"/>
          </w:tcPr>
          <w:p>
            <w:r/>
            <w:r>
              <w:rPr>
                <w:sz w:val="15"/>
              </w:rPr>
              <w:t>CRITICAL</w:t>
            </w:r>
          </w:p>
        </w:tc>
        <w:tc>
          <w:tcPr>
            <w:tcW w:type="dxa" w:w="2556"/>
            <w:vAlign w:val="center"/>
          </w:tcPr>
          <w:p>
            <w:r/>
            <w:r>
              <w:rPr>
                <w:sz w:val="15"/>
              </w:rPr>
              <w:t>Order state machine and shipping</w:t>
            </w:r>
          </w:p>
        </w:tc>
      </w:tr>
      <w:tr>
        <w:tc>
          <w:tcPr>
            <w:tcW w:type="dxa" w:w="2556"/>
            <w:vAlign w:val="center"/>
            <w:shd w:fill="EEF4F8"/>
          </w:tcPr>
          <w:p>
            <w:r/>
            <w:r>
              <w:rPr>
                <w:sz w:val="15"/>
              </w:rPr>
              <w:t>18</w:t>
            </w:r>
          </w:p>
        </w:tc>
        <w:tc>
          <w:tcPr>
            <w:tcW w:type="dxa" w:w="2556"/>
            <w:vAlign w:val="center"/>
            <w:shd w:fill="EEF4F8"/>
          </w:tcPr>
          <w:p>
            <w:r/>
            <w:r>
              <w:rPr>
                <w:sz w:val="15"/>
              </w:rPr>
              <w:t>Returns / Refunds / Support</w:t>
            </w:r>
          </w:p>
        </w:tc>
        <w:tc>
          <w:tcPr>
            <w:tcW w:type="dxa" w:w="2556"/>
            <w:vAlign w:val="center"/>
            <w:shd w:fill="EEF4F8"/>
          </w:tcPr>
          <w:p>
            <w:r/>
            <w:r>
              <w:rPr>
                <w:sz w:val="15"/>
              </w:rPr>
              <w:t>HIGH</w:t>
            </w:r>
          </w:p>
        </w:tc>
        <w:tc>
          <w:tcPr>
            <w:tcW w:type="dxa" w:w="2556"/>
            <w:vAlign w:val="center"/>
            <w:shd w:fill="EEF4F8"/>
          </w:tcPr>
          <w:p>
            <w:r/>
            <w:r>
              <w:rPr>
                <w:sz w:val="15"/>
              </w:rPr>
              <w:t>Returns, refunds and support workflows</w:t>
            </w:r>
          </w:p>
        </w:tc>
      </w:tr>
      <w:tr>
        <w:tc>
          <w:tcPr>
            <w:tcW w:type="dxa" w:w="2556"/>
            <w:vAlign w:val="center"/>
          </w:tcPr>
          <w:p>
            <w:r/>
            <w:r>
              <w:rPr>
                <w:sz w:val="15"/>
              </w:rPr>
              <w:t>19</w:t>
            </w:r>
          </w:p>
        </w:tc>
        <w:tc>
          <w:tcPr>
            <w:tcW w:type="dxa" w:w="2556"/>
            <w:vAlign w:val="center"/>
          </w:tcPr>
          <w:p>
            <w:r/>
            <w:r>
              <w:rPr>
                <w:sz w:val="15"/>
              </w:rPr>
              <w:t>Internationalization / Country Rules</w:t>
            </w:r>
          </w:p>
        </w:tc>
        <w:tc>
          <w:tcPr>
            <w:tcW w:type="dxa" w:w="2556"/>
            <w:vAlign w:val="center"/>
          </w:tcPr>
          <w:p>
            <w:r/>
            <w:r>
              <w:rPr>
                <w:sz w:val="15"/>
              </w:rPr>
              <w:t>CRITICAL</w:t>
            </w:r>
          </w:p>
        </w:tc>
        <w:tc>
          <w:tcPr>
            <w:tcW w:type="dxa" w:w="2556"/>
            <w:vAlign w:val="center"/>
          </w:tcPr>
          <w:p>
            <w:r/>
            <w:r>
              <w:rPr>
                <w:sz w:val="15"/>
              </w:rPr>
              <w:t>Language, currency, tax, shipping, market rules</w:t>
            </w:r>
          </w:p>
        </w:tc>
      </w:tr>
      <w:tr>
        <w:tc>
          <w:tcPr>
            <w:tcW w:type="dxa" w:w="2556"/>
            <w:vAlign w:val="center"/>
            <w:shd w:fill="EEF4F8"/>
          </w:tcPr>
          <w:p>
            <w:r/>
            <w:r>
              <w:rPr>
                <w:sz w:val="15"/>
              </w:rPr>
              <w:t>20</w:t>
            </w:r>
          </w:p>
        </w:tc>
        <w:tc>
          <w:tcPr>
            <w:tcW w:type="dxa" w:w="2556"/>
            <w:vAlign w:val="center"/>
            <w:shd w:fill="EEF4F8"/>
          </w:tcPr>
          <w:p>
            <w:r/>
            <w:r>
              <w:rPr>
                <w:sz w:val="15"/>
              </w:rPr>
              <w:t>Notifications / Email</w:t>
            </w:r>
          </w:p>
        </w:tc>
        <w:tc>
          <w:tcPr>
            <w:tcW w:type="dxa" w:w="2556"/>
            <w:vAlign w:val="center"/>
            <w:shd w:fill="EEF4F8"/>
          </w:tcPr>
          <w:p>
            <w:r/>
            <w:r>
              <w:rPr>
                <w:sz w:val="15"/>
              </w:rPr>
              <w:t>HIGH</w:t>
            </w:r>
          </w:p>
        </w:tc>
        <w:tc>
          <w:tcPr>
            <w:tcW w:type="dxa" w:w="2556"/>
            <w:vAlign w:val="center"/>
            <w:shd w:fill="EEF4F8"/>
          </w:tcPr>
          <w:p>
            <w:r/>
            <w:r>
              <w:rPr>
                <w:sz w:val="15"/>
              </w:rPr>
              <w:t>Transactional communication</w:t>
            </w:r>
          </w:p>
        </w:tc>
      </w:tr>
      <w:tr>
        <w:tc>
          <w:tcPr>
            <w:tcW w:type="dxa" w:w="2556"/>
            <w:vAlign w:val="center"/>
          </w:tcPr>
          <w:p>
            <w:r/>
            <w:r>
              <w:rPr>
                <w:sz w:val="15"/>
              </w:rPr>
              <w:t>21</w:t>
            </w:r>
          </w:p>
        </w:tc>
        <w:tc>
          <w:tcPr>
            <w:tcW w:type="dxa" w:w="2556"/>
            <w:vAlign w:val="center"/>
          </w:tcPr>
          <w:p>
            <w:r/>
            <w:r>
              <w:rPr>
                <w:sz w:val="15"/>
              </w:rPr>
              <w:t>Reports / Analytics</w:t>
            </w:r>
          </w:p>
        </w:tc>
        <w:tc>
          <w:tcPr>
            <w:tcW w:type="dxa" w:w="2556"/>
            <w:vAlign w:val="center"/>
          </w:tcPr>
          <w:p>
            <w:r/>
            <w:r>
              <w:rPr>
                <w:sz w:val="15"/>
              </w:rPr>
              <w:t>MEDIUM</w:t>
            </w:r>
          </w:p>
        </w:tc>
        <w:tc>
          <w:tcPr>
            <w:tcW w:type="dxa" w:w="2556"/>
            <w:vAlign w:val="center"/>
          </w:tcPr>
          <w:p>
            <w:r/>
            <w:r>
              <w:rPr>
                <w:sz w:val="15"/>
              </w:rPr>
              <w:t>Business and operational reporting</w:t>
            </w:r>
          </w:p>
        </w:tc>
      </w:tr>
      <w:tr>
        <w:tc>
          <w:tcPr>
            <w:tcW w:type="dxa" w:w="2556"/>
            <w:vAlign w:val="center"/>
            <w:shd w:fill="EEF4F8"/>
          </w:tcPr>
          <w:p>
            <w:r/>
            <w:r>
              <w:rPr>
                <w:sz w:val="15"/>
              </w:rPr>
              <w:t>22</w:t>
            </w:r>
          </w:p>
        </w:tc>
        <w:tc>
          <w:tcPr>
            <w:tcW w:type="dxa" w:w="2556"/>
            <w:vAlign w:val="center"/>
            <w:shd w:fill="EEF4F8"/>
          </w:tcPr>
          <w:p>
            <w:r/>
            <w:r>
              <w:rPr>
                <w:sz w:val="15"/>
              </w:rPr>
              <w:t>Audit / Security Monitoring</w:t>
            </w:r>
          </w:p>
        </w:tc>
        <w:tc>
          <w:tcPr>
            <w:tcW w:type="dxa" w:w="2556"/>
            <w:vAlign w:val="center"/>
            <w:shd w:fill="EEF4F8"/>
          </w:tcPr>
          <w:p>
            <w:r/>
            <w:r>
              <w:rPr>
                <w:sz w:val="15"/>
              </w:rPr>
              <w:t>CRITICAL</w:t>
            </w:r>
          </w:p>
        </w:tc>
        <w:tc>
          <w:tcPr>
            <w:tcW w:type="dxa" w:w="2556"/>
            <w:vAlign w:val="center"/>
            <w:shd w:fill="EEF4F8"/>
          </w:tcPr>
          <w:p>
            <w:r/>
            <w:r>
              <w:rPr>
                <w:sz w:val="15"/>
              </w:rPr>
              <w:t>Forensics, alerts and privileged activity</w:t>
            </w:r>
          </w:p>
        </w:tc>
      </w:tr>
      <w:tr>
        <w:tc>
          <w:tcPr>
            <w:tcW w:type="dxa" w:w="2556"/>
            <w:vAlign w:val="center"/>
          </w:tcPr>
          <w:p>
            <w:r/>
            <w:r>
              <w:rPr>
                <w:sz w:val="15"/>
              </w:rPr>
              <w:t>23</w:t>
            </w:r>
          </w:p>
        </w:tc>
        <w:tc>
          <w:tcPr>
            <w:tcW w:type="dxa" w:w="2556"/>
            <w:vAlign w:val="center"/>
          </w:tcPr>
          <w:p>
            <w:r/>
            <w:r>
              <w:rPr>
                <w:sz w:val="15"/>
              </w:rPr>
              <w:t>CDN / WAF / DDoS / Performance</w:t>
            </w:r>
          </w:p>
        </w:tc>
        <w:tc>
          <w:tcPr>
            <w:tcW w:type="dxa" w:w="2556"/>
            <w:vAlign w:val="center"/>
          </w:tcPr>
          <w:p>
            <w:r/>
            <w:r>
              <w:rPr>
                <w:sz w:val="15"/>
              </w:rPr>
              <w:t>CRITICAL</w:t>
            </w:r>
          </w:p>
        </w:tc>
        <w:tc>
          <w:tcPr>
            <w:tcW w:type="dxa" w:w="2556"/>
            <w:vAlign w:val="center"/>
          </w:tcPr>
          <w:p>
            <w:r/>
            <w:r>
              <w:rPr>
                <w:sz w:val="15"/>
              </w:rPr>
              <w:t>Traffic protection and scalability</w:t>
            </w:r>
          </w:p>
        </w:tc>
      </w:tr>
      <w:tr>
        <w:tc>
          <w:tcPr>
            <w:tcW w:type="dxa" w:w="2556"/>
            <w:vAlign w:val="center"/>
            <w:shd w:fill="EEF4F8"/>
          </w:tcPr>
          <w:p>
            <w:r/>
            <w:r>
              <w:rPr>
                <w:sz w:val="15"/>
              </w:rPr>
              <w:t>24</w:t>
            </w:r>
          </w:p>
        </w:tc>
        <w:tc>
          <w:tcPr>
            <w:tcW w:type="dxa" w:w="2556"/>
            <w:vAlign w:val="center"/>
            <w:shd w:fill="EEF4F8"/>
          </w:tcPr>
          <w:p>
            <w:r/>
            <w:r>
              <w:rPr>
                <w:sz w:val="15"/>
              </w:rPr>
              <w:t>QA / Security / Penetration Test</w:t>
            </w:r>
          </w:p>
        </w:tc>
        <w:tc>
          <w:tcPr>
            <w:tcW w:type="dxa" w:w="2556"/>
            <w:vAlign w:val="center"/>
            <w:shd w:fill="EEF4F8"/>
          </w:tcPr>
          <w:p>
            <w:r/>
            <w:r>
              <w:rPr>
                <w:sz w:val="15"/>
              </w:rPr>
              <w:t>CRITICAL</w:t>
            </w:r>
          </w:p>
        </w:tc>
        <w:tc>
          <w:tcPr>
            <w:tcW w:type="dxa" w:w="2556"/>
            <w:vAlign w:val="center"/>
            <w:shd w:fill="EEF4F8"/>
          </w:tcPr>
          <w:p>
            <w:r/>
            <w:r>
              <w:rPr>
                <w:sz w:val="15"/>
              </w:rPr>
              <w:t>Release assurance</w:t>
            </w:r>
          </w:p>
        </w:tc>
      </w:tr>
      <w:tr>
        <w:tc>
          <w:tcPr>
            <w:tcW w:type="dxa" w:w="2556"/>
            <w:vAlign w:val="center"/>
          </w:tcPr>
          <w:p>
            <w:r/>
            <w:r>
              <w:rPr>
                <w:sz w:val="15"/>
              </w:rPr>
              <w:t>25</w:t>
            </w:r>
          </w:p>
        </w:tc>
        <w:tc>
          <w:tcPr>
            <w:tcW w:type="dxa" w:w="2556"/>
            <w:vAlign w:val="center"/>
          </w:tcPr>
          <w:p>
            <w:r/>
            <w:r>
              <w:rPr>
                <w:sz w:val="15"/>
              </w:rPr>
              <w:t>Production / DR / Launch</w:t>
            </w:r>
          </w:p>
        </w:tc>
        <w:tc>
          <w:tcPr>
            <w:tcW w:type="dxa" w:w="2556"/>
            <w:vAlign w:val="center"/>
          </w:tcPr>
          <w:p>
            <w:r/>
            <w:r>
              <w:rPr>
                <w:sz w:val="15"/>
              </w:rPr>
              <w:t>CRITICAL</w:t>
            </w:r>
          </w:p>
        </w:tc>
        <w:tc>
          <w:tcPr>
            <w:tcW w:type="dxa" w:w="2556"/>
            <w:vAlign w:val="center"/>
          </w:tcPr>
          <w:p>
            <w:r/>
            <w:r>
              <w:rPr>
                <w:sz w:val="15"/>
              </w:rPr>
              <w:t>Go-live, backup, recovery and operating runbooks</w:t>
            </w:r>
          </w:p>
        </w:tc>
      </w:tr>
    </w:tbl>
    <w:p>
      <w:pPr>
        <w:pStyle w:val="Heading1"/>
        <w:keepNext/>
      </w:pPr>
      <w:r>
        <w:t>4. Module 01 - Admin Login &amp; Security Foundation</w:t>
      </w:r>
    </w:p>
    <w:p>
      <w:r>
        <w:t>This is the first implementation module. The admin portal is the highest-impact part of the platform because compromise can expose products, customers, pricing, orders, promotions, refunds and operational controls.</w:t>
      </w:r>
    </w:p>
    <w:p>
      <w:pPr>
        <w:pStyle w:val="Heading2"/>
        <w:keepNext/>
      </w:pPr>
      <w:r>
        <w:t>4.1 Admin Login UI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UI Area</w:t>
            </w:r>
          </w:p>
        </w:tc>
        <w:tc>
          <w:tcPr>
            <w:tcW w:type="dxa" w:w="3408"/>
            <w:shd w:fill="17324D"/>
          </w:tcPr>
          <w:p>
            <w:r/>
            <w:r>
              <w:rPr>
                <w:b/>
                <w:color w:val="FFFFFF"/>
                <w:sz w:val="16"/>
              </w:rPr>
              <w:t>Requirement</w:t>
            </w:r>
          </w:p>
        </w:tc>
        <w:tc>
          <w:tcPr>
            <w:tcW w:type="dxa" w:w="3408"/>
            <w:shd w:fill="17324D"/>
          </w:tcPr>
          <w:p>
            <w:r/>
            <w:r>
              <w:rPr>
                <w:b/>
                <w:color w:val="FFFFFF"/>
                <w:sz w:val="16"/>
              </w:rPr>
              <w:t>Security Requirement</w:t>
            </w:r>
          </w:p>
        </w:tc>
      </w:tr>
      <w:tr>
        <w:tc>
          <w:tcPr>
            <w:tcW w:type="dxa" w:w="3408"/>
            <w:vAlign w:val="center"/>
          </w:tcPr>
          <w:p>
            <w:r/>
            <w:r>
              <w:rPr>
                <w:sz w:val="15"/>
              </w:rPr>
              <w:t>Branding</w:t>
            </w:r>
          </w:p>
        </w:tc>
        <w:tc>
          <w:tcPr>
            <w:tcW w:type="dxa" w:w="3408"/>
            <w:vAlign w:val="center"/>
          </w:tcPr>
          <w:p>
            <w:r/>
            <w:r>
              <w:rPr>
                <w:sz w:val="15"/>
              </w:rPr>
              <w:t>The Bling Haven logo/brand, admin-only hostname</w:t>
            </w:r>
          </w:p>
        </w:tc>
        <w:tc>
          <w:tcPr>
            <w:tcW w:type="dxa" w:w="3408"/>
            <w:vAlign w:val="center"/>
          </w:tcPr>
          <w:p>
            <w:r/>
            <w:r>
              <w:rPr>
                <w:sz w:val="15"/>
              </w:rPr>
              <w:t>Do not use customer storefront authentication page</w:t>
            </w:r>
          </w:p>
        </w:tc>
      </w:tr>
      <w:tr>
        <w:tc>
          <w:tcPr>
            <w:tcW w:type="dxa" w:w="3408"/>
            <w:vAlign w:val="center"/>
            <w:shd w:fill="EEF4F8"/>
          </w:tcPr>
          <w:p>
            <w:r/>
            <w:r>
              <w:rPr>
                <w:sz w:val="15"/>
              </w:rPr>
              <w:t>Credentials</w:t>
            </w:r>
          </w:p>
        </w:tc>
        <w:tc>
          <w:tcPr>
            <w:tcW w:type="dxa" w:w="3408"/>
            <w:vAlign w:val="center"/>
            <w:shd w:fill="EEF4F8"/>
          </w:tcPr>
          <w:p>
            <w:r/>
            <w:r>
              <w:rPr>
                <w:sz w:val="15"/>
              </w:rPr>
              <w:t>Email/username + password</w:t>
            </w:r>
          </w:p>
        </w:tc>
        <w:tc>
          <w:tcPr>
            <w:tcW w:type="dxa" w:w="3408"/>
            <w:vAlign w:val="center"/>
            <w:shd w:fill="EEF4F8"/>
          </w:tcPr>
          <w:p>
            <w:r/>
            <w:r>
              <w:rPr>
                <w:sz w:val="15"/>
              </w:rPr>
              <w:t>Rate-limit authentication attempts</w:t>
            </w:r>
          </w:p>
        </w:tc>
      </w:tr>
      <w:tr>
        <w:tc>
          <w:tcPr>
            <w:tcW w:type="dxa" w:w="3408"/>
            <w:vAlign w:val="center"/>
          </w:tcPr>
          <w:p>
            <w:r/>
            <w:r>
              <w:rPr>
                <w:sz w:val="15"/>
              </w:rPr>
              <w:t>Password control</w:t>
            </w:r>
          </w:p>
        </w:tc>
        <w:tc>
          <w:tcPr>
            <w:tcW w:type="dxa" w:w="3408"/>
            <w:vAlign w:val="center"/>
          </w:tcPr>
          <w:p>
            <w:r/>
            <w:r>
              <w:rPr>
                <w:sz w:val="15"/>
              </w:rPr>
              <w:t>Show/hide password</w:t>
            </w:r>
          </w:p>
        </w:tc>
        <w:tc>
          <w:tcPr>
            <w:tcW w:type="dxa" w:w="3408"/>
            <w:vAlign w:val="center"/>
          </w:tcPr>
          <w:p>
            <w:r/>
            <w:r>
              <w:rPr>
                <w:sz w:val="15"/>
              </w:rPr>
              <w:t>Never persist password in client storage</w:t>
            </w:r>
          </w:p>
        </w:tc>
      </w:tr>
      <w:tr>
        <w:tc>
          <w:tcPr>
            <w:tcW w:type="dxa" w:w="3408"/>
            <w:vAlign w:val="center"/>
            <w:shd w:fill="EEF4F8"/>
          </w:tcPr>
          <w:p>
            <w:r/>
            <w:r>
              <w:rPr>
                <w:sz w:val="15"/>
              </w:rPr>
              <w:t>MFA</w:t>
            </w:r>
          </w:p>
        </w:tc>
        <w:tc>
          <w:tcPr>
            <w:tcW w:type="dxa" w:w="3408"/>
            <w:vAlign w:val="center"/>
            <w:shd w:fill="EEF4F8"/>
          </w:tcPr>
          <w:p>
            <w:r/>
            <w:r>
              <w:rPr>
                <w:sz w:val="15"/>
              </w:rPr>
              <w:t>TOTP and/or WebAuthn/passkey</w:t>
            </w:r>
          </w:p>
        </w:tc>
        <w:tc>
          <w:tcPr>
            <w:tcW w:type="dxa" w:w="3408"/>
            <w:vAlign w:val="center"/>
            <w:shd w:fill="EEF4F8"/>
          </w:tcPr>
          <w:p>
            <w:r/>
            <w:r>
              <w:rPr>
                <w:sz w:val="15"/>
              </w:rPr>
              <w:t>Mandatory for privileged administrators</w:t>
            </w:r>
          </w:p>
        </w:tc>
      </w:tr>
      <w:tr>
        <w:tc>
          <w:tcPr>
            <w:tcW w:type="dxa" w:w="3408"/>
            <w:vAlign w:val="center"/>
          </w:tcPr>
          <w:p>
            <w:r/>
            <w:r>
              <w:rPr>
                <w:sz w:val="15"/>
              </w:rPr>
              <w:t>Recovery</w:t>
            </w:r>
          </w:p>
        </w:tc>
        <w:tc>
          <w:tcPr>
            <w:tcW w:type="dxa" w:w="3408"/>
            <w:vAlign w:val="center"/>
          </w:tcPr>
          <w:p>
            <w:r/>
            <w:r>
              <w:rPr>
                <w:sz w:val="15"/>
              </w:rPr>
              <w:t>Forgot password / reset</w:t>
            </w:r>
          </w:p>
        </w:tc>
        <w:tc>
          <w:tcPr>
            <w:tcW w:type="dxa" w:w="3408"/>
            <w:vAlign w:val="center"/>
          </w:tcPr>
          <w:p>
            <w:r/>
            <w:r>
              <w:rPr>
                <w:sz w:val="15"/>
              </w:rPr>
              <w:t>Single-use, expiring tokens</w:t>
            </w:r>
          </w:p>
        </w:tc>
      </w:tr>
      <w:tr>
        <w:tc>
          <w:tcPr>
            <w:tcW w:type="dxa" w:w="3408"/>
            <w:vAlign w:val="center"/>
            <w:shd w:fill="EEF4F8"/>
          </w:tcPr>
          <w:p>
            <w:r/>
            <w:r>
              <w:rPr>
                <w:sz w:val="15"/>
              </w:rPr>
              <w:t>Session</w:t>
            </w:r>
          </w:p>
        </w:tc>
        <w:tc>
          <w:tcPr>
            <w:tcW w:type="dxa" w:w="3408"/>
            <w:vAlign w:val="center"/>
            <w:shd w:fill="EEF4F8"/>
          </w:tcPr>
          <w:p>
            <w:r/>
            <w:r>
              <w:rPr>
                <w:sz w:val="15"/>
              </w:rPr>
              <w:t>Device/session awareness</w:t>
            </w:r>
          </w:p>
        </w:tc>
        <w:tc>
          <w:tcPr>
            <w:tcW w:type="dxa" w:w="3408"/>
            <w:vAlign w:val="center"/>
            <w:shd w:fill="EEF4F8"/>
          </w:tcPr>
          <w:p>
            <w:r/>
            <w:r>
              <w:rPr>
                <w:sz w:val="15"/>
              </w:rPr>
              <w:t>Secure cookies, revocation, idle/absolute timeout</w:t>
            </w:r>
          </w:p>
        </w:tc>
      </w:tr>
      <w:tr>
        <w:tc>
          <w:tcPr>
            <w:tcW w:type="dxa" w:w="3408"/>
            <w:vAlign w:val="center"/>
          </w:tcPr>
          <w:p>
            <w:r/>
            <w:r>
              <w:rPr>
                <w:sz w:val="15"/>
              </w:rPr>
              <w:t>Error handling</w:t>
            </w:r>
          </w:p>
        </w:tc>
        <w:tc>
          <w:tcPr>
            <w:tcW w:type="dxa" w:w="3408"/>
            <w:vAlign w:val="center"/>
          </w:tcPr>
          <w:p>
            <w:r/>
            <w:r>
              <w:rPr>
                <w:sz w:val="15"/>
              </w:rPr>
              <w:t>Generic authentication failure message</w:t>
            </w:r>
          </w:p>
        </w:tc>
        <w:tc>
          <w:tcPr>
            <w:tcW w:type="dxa" w:w="3408"/>
            <w:vAlign w:val="center"/>
          </w:tcPr>
          <w:p>
            <w:r/>
            <w:r>
              <w:rPr>
                <w:sz w:val="15"/>
              </w:rPr>
              <w:t>Prevent account enumeration</w:t>
            </w:r>
          </w:p>
        </w:tc>
      </w:tr>
      <w:tr>
        <w:tc>
          <w:tcPr>
            <w:tcW w:type="dxa" w:w="3408"/>
            <w:vAlign w:val="center"/>
            <w:shd w:fill="EEF4F8"/>
          </w:tcPr>
          <w:p>
            <w:r/>
            <w:r>
              <w:rPr>
                <w:sz w:val="15"/>
              </w:rPr>
              <w:t>Risk challenge</w:t>
            </w:r>
          </w:p>
        </w:tc>
        <w:tc>
          <w:tcPr>
            <w:tcW w:type="dxa" w:w="3408"/>
            <w:vAlign w:val="center"/>
            <w:shd w:fill="EEF4F8"/>
          </w:tcPr>
          <w:p>
            <w:r/>
            <w:r>
              <w:rPr>
                <w:sz w:val="15"/>
              </w:rPr>
              <w:t>Adaptive challenge on suspicious behavior</w:t>
            </w:r>
          </w:p>
        </w:tc>
        <w:tc>
          <w:tcPr>
            <w:tcW w:type="dxa" w:w="3408"/>
            <w:vAlign w:val="center"/>
            <w:shd w:fill="EEF4F8"/>
          </w:tcPr>
          <w:p>
            <w:r/>
            <w:r>
              <w:rPr>
                <w:sz w:val="15"/>
              </w:rPr>
              <w:t>Do not challenge every customer/admin unnecessarily</w:t>
            </w:r>
          </w:p>
        </w:tc>
      </w:tr>
    </w:tbl>
    <w:p>
      <w:pPr>
        <w:pStyle w:val="Heading2"/>
        <w:keepNext/>
      </w:pPr>
      <w:r>
        <w:t>4.2 Authentication Flow</w:t>
      </w:r>
    </w:p>
    <w:p>
      <w:r>
        <w:t>Admin → WAF/CDN → Rate Limiter → Authentication Service → Credential Verification → Risk Evaluation → MFA/Step-up → Secure Session → Admin Portal</w:t>
      </w:r>
    </w:p>
    <w:p>
      <w:pPr>
        <w:pStyle w:val="Heading2"/>
        <w:keepNext/>
      </w:pPr>
      <w:r>
        <w:t>4.3 Password &amp; Session Controls</w:t>
      </w:r>
    </w:p>
    <w:p>
      <w:pPr>
        <w:pStyle w:val="ListBullet"/>
        <w:spacing w:after="40"/>
      </w:pPr>
      <w:r>
        <w:t>Store passwords only as strong Argon2id hashes with unique salts and appropriate work factors.</w:t>
      </w:r>
    </w:p>
    <w:p>
      <w:pPr>
        <w:pStyle w:val="ListBullet"/>
        <w:spacing w:after="40"/>
      </w:pPr>
      <w:r>
        <w:t>Never store passwords, reset tokens or MFA secrets in application logs.</w:t>
      </w:r>
    </w:p>
    <w:p>
      <w:pPr>
        <w:pStyle w:val="ListBullet"/>
        <w:spacing w:after="40"/>
      </w:pPr>
      <w:r>
        <w:t>Reset tokens must be random, single-use and expire quickly.</w:t>
      </w:r>
    </w:p>
    <w:p>
      <w:pPr>
        <w:pStyle w:val="ListBullet"/>
        <w:spacing w:after="40"/>
      </w:pPr>
      <w:r>
        <w:t>Use Secure + HttpOnly + SameSite cookies when cookie sessions are used.</w:t>
      </w:r>
    </w:p>
    <w:p>
      <w:pPr>
        <w:pStyle w:val="ListBullet"/>
        <w:spacing w:after="40"/>
      </w:pPr>
      <w:r>
        <w:t>Use short-lived access credentials and controlled refresh/session rotation where token-based sessions are used.</w:t>
      </w:r>
    </w:p>
    <w:p>
      <w:pPr>
        <w:pStyle w:val="ListBullet"/>
        <w:spacing w:after="40"/>
      </w:pPr>
      <w:r>
        <w:t>Support session listing and revocation for administrators.</w:t>
      </w:r>
    </w:p>
    <w:p>
      <w:pPr>
        <w:pStyle w:val="ListBullet"/>
        <w:spacing w:after="40"/>
      </w:pPr>
      <w:r>
        <w:t>Require re-authentication for high-risk operations such as changing MFA, resetting credentials and high-value financial actions.</w:t>
      </w:r>
    </w:p>
    <w:p>
      <w:pPr>
        <w:pStyle w:val="Heading2"/>
        <w:keepNext/>
      </w:pPr>
      <w:r>
        <w:t>4.4 Threats Covered</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Threat</w:t>
            </w:r>
          </w:p>
        </w:tc>
        <w:tc>
          <w:tcPr>
            <w:tcW w:type="dxa" w:w="5112"/>
            <w:shd w:fill="17324D"/>
          </w:tcPr>
          <w:p>
            <w:r/>
            <w:r>
              <w:rPr>
                <w:b/>
                <w:color w:val="FFFFFF"/>
                <w:sz w:val="16"/>
              </w:rPr>
              <w:t>Control</w:t>
            </w:r>
          </w:p>
        </w:tc>
      </w:tr>
      <w:tr>
        <w:tc>
          <w:tcPr>
            <w:tcW w:type="dxa" w:w="5112"/>
            <w:vAlign w:val="center"/>
          </w:tcPr>
          <w:p>
            <w:r/>
            <w:r>
              <w:rPr>
                <w:sz w:val="15"/>
              </w:rPr>
              <w:t>Brute force</w:t>
            </w:r>
          </w:p>
        </w:tc>
        <w:tc>
          <w:tcPr>
            <w:tcW w:type="dxa" w:w="5112"/>
            <w:vAlign w:val="center"/>
          </w:tcPr>
          <w:p>
            <w:r/>
            <w:r>
              <w:rPr>
                <w:sz w:val="15"/>
              </w:rPr>
              <w:t>Endpoint rate limiting, progressive delays, adaptive challenge</w:t>
            </w:r>
          </w:p>
        </w:tc>
      </w:tr>
      <w:tr>
        <w:tc>
          <w:tcPr>
            <w:tcW w:type="dxa" w:w="5112"/>
            <w:vAlign w:val="center"/>
            <w:shd w:fill="EEF4F8"/>
          </w:tcPr>
          <w:p>
            <w:r/>
            <w:r>
              <w:rPr>
                <w:sz w:val="15"/>
              </w:rPr>
              <w:t>Credential stuffing</w:t>
            </w:r>
          </w:p>
        </w:tc>
        <w:tc>
          <w:tcPr>
            <w:tcW w:type="dxa" w:w="5112"/>
            <w:vAlign w:val="center"/>
            <w:shd w:fill="EEF4F8"/>
          </w:tcPr>
          <w:p>
            <w:r/>
            <w:r>
              <w:rPr>
                <w:sz w:val="15"/>
              </w:rPr>
              <w:t>Bot detection, MFA, anomaly detection, breached-password controls where appropriate</w:t>
            </w:r>
          </w:p>
        </w:tc>
      </w:tr>
      <w:tr>
        <w:tc>
          <w:tcPr>
            <w:tcW w:type="dxa" w:w="5112"/>
            <w:vAlign w:val="center"/>
          </w:tcPr>
          <w:p>
            <w:r/>
            <w:r>
              <w:rPr>
                <w:sz w:val="15"/>
              </w:rPr>
              <w:t>Session hijacking</w:t>
            </w:r>
          </w:p>
        </w:tc>
        <w:tc>
          <w:tcPr>
            <w:tcW w:type="dxa" w:w="5112"/>
            <w:vAlign w:val="center"/>
          </w:tcPr>
          <w:p>
            <w:r/>
            <w:r>
              <w:rPr>
                <w:sz w:val="15"/>
              </w:rPr>
              <w:t>Secure session cookies, rotation, revocation, HTTPS</w:t>
            </w:r>
          </w:p>
        </w:tc>
      </w:tr>
      <w:tr>
        <w:tc>
          <w:tcPr>
            <w:tcW w:type="dxa" w:w="5112"/>
            <w:vAlign w:val="center"/>
            <w:shd w:fill="EEF4F8"/>
          </w:tcPr>
          <w:p>
            <w:r/>
            <w:r>
              <w:rPr>
                <w:sz w:val="15"/>
              </w:rPr>
              <w:t>Account enumeration</w:t>
            </w:r>
          </w:p>
        </w:tc>
        <w:tc>
          <w:tcPr>
            <w:tcW w:type="dxa" w:w="5112"/>
            <w:vAlign w:val="center"/>
            <w:shd w:fill="EEF4F8"/>
          </w:tcPr>
          <w:p>
            <w:r/>
            <w:r>
              <w:rPr>
                <w:sz w:val="15"/>
              </w:rPr>
              <w:t>Uniform errors and response behavior</w:t>
            </w:r>
          </w:p>
        </w:tc>
      </w:tr>
      <w:tr>
        <w:tc>
          <w:tcPr>
            <w:tcW w:type="dxa" w:w="5112"/>
            <w:vAlign w:val="center"/>
          </w:tcPr>
          <w:p>
            <w:r/>
            <w:r>
              <w:rPr>
                <w:sz w:val="15"/>
              </w:rPr>
              <w:t>Password reset abuse</w:t>
            </w:r>
          </w:p>
        </w:tc>
        <w:tc>
          <w:tcPr>
            <w:tcW w:type="dxa" w:w="5112"/>
            <w:vAlign w:val="center"/>
          </w:tcPr>
          <w:p>
            <w:r/>
            <w:r>
              <w:rPr>
                <w:sz w:val="15"/>
              </w:rPr>
              <w:t>Rate limits, token expiry, single-use tokens</w:t>
            </w:r>
          </w:p>
        </w:tc>
      </w:tr>
      <w:tr>
        <w:tc>
          <w:tcPr>
            <w:tcW w:type="dxa" w:w="5112"/>
            <w:vAlign w:val="center"/>
            <w:shd w:fill="EEF4F8"/>
          </w:tcPr>
          <w:p>
            <w:r/>
            <w:r>
              <w:rPr>
                <w:sz w:val="15"/>
              </w:rPr>
              <w:t>Admin takeover</w:t>
            </w:r>
          </w:p>
        </w:tc>
        <w:tc>
          <w:tcPr>
            <w:tcW w:type="dxa" w:w="5112"/>
            <w:vAlign w:val="center"/>
            <w:shd w:fill="EEF4F8"/>
          </w:tcPr>
          <w:p>
            <w:r/>
            <w:r>
              <w:rPr>
                <w:sz w:val="15"/>
              </w:rPr>
              <w:t>Mandatory MFA, least privilege, privileged monitoring</w:t>
            </w:r>
          </w:p>
        </w:tc>
      </w:tr>
    </w:tbl>
    <w:p>
      <w:pPr>
        <w:pStyle w:val="Heading2"/>
        <w:keepNext/>
      </w:pPr>
      <w:r>
        <w:t>4.5 Module Acceptance Criteria</w:t>
      </w:r>
    </w:p>
    <w:p>
      <w:pPr>
        <w:pStyle w:val="ListBullet"/>
        <w:spacing w:after="40"/>
      </w:pPr>
      <w:r>
        <w:t>Valid authorized admin can sign in and reach only permitted admin areas.</w:t>
      </w:r>
    </w:p>
    <w:p>
      <w:pPr>
        <w:pStyle w:val="ListBullet"/>
        <w:spacing w:after="40"/>
      </w:pPr>
      <w:r>
        <w:t>Invalid credentials do not reveal whether an account exists.</w:t>
      </w:r>
    </w:p>
    <w:p>
      <w:pPr>
        <w:pStyle w:val="ListBullet"/>
        <w:spacing w:after="40"/>
      </w:pPr>
      <w:r>
        <w:t>MFA is enforced for privileged roles.</w:t>
      </w:r>
    </w:p>
    <w:p>
      <w:pPr>
        <w:pStyle w:val="ListBullet"/>
        <w:spacing w:after="40"/>
      </w:pPr>
      <w:r>
        <w:t>Admin session can be revoked.</w:t>
      </w:r>
    </w:p>
    <w:p>
      <w:pPr>
        <w:pStyle w:val="ListBullet"/>
        <w:spacing w:after="40"/>
      </w:pPr>
      <w:r>
        <w:t>Password-reset link expires and cannot be reused.</w:t>
      </w:r>
    </w:p>
    <w:p>
      <w:pPr>
        <w:pStyle w:val="ListBullet"/>
        <w:spacing w:after="40"/>
      </w:pPr>
      <w:r>
        <w:t>Repeated authentication abuse is throttled/blocked according to policy.</w:t>
      </w:r>
    </w:p>
    <w:p>
      <w:pPr>
        <w:pStyle w:val="ListBullet"/>
        <w:spacing w:after="40"/>
      </w:pPr>
      <w:r>
        <w:t>All authentication security events are logged without secrets.</w:t>
      </w:r>
    </w:p>
    <w:p>
      <w:pPr>
        <w:pStyle w:val="Heading1"/>
        <w:keepNext/>
      </w:pPr>
      <w:r>
        <w:t>5. Module 02 - Admin Portal Shell &amp; Dashboard</w:t>
      </w:r>
    </w:p>
    <w:p>
      <w:pPr>
        <w:pStyle w:val="Heading2"/>
        <w:keepNext/>
      </w:pPr>
      <w:r>
        <w:t>5.1 UI</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Area</w:t>
            </w:r>
          </w:p>
        </w:tc>
        <w:tc>
          <w:tcPr>
            <w:tcW w:type="dxa" w:w="5112"/>
            <w:shd w:fill="17324D"/>
          </w:tcPr>
          <w:p>
            <w:r/>
            <w:r>
              <w:rPr>
                <w:b/>
                <w:color w:val="FFFFFF"/>
                <w:sz w:val="16"/>
              </w:rPr>
              <w:t>Components</w:t>
            </w:r>
          </w:p>
        </w:tc>
      </w:tr>
      <w:tr>
        <w:tc>
          <w:tcPr>
            <w:tcW w:type="dxa" w:w="5112"/>
            <w:vAlign w:val="center"/>
          </w:tcPr>
          <w:p>
            <w:r/>
            <w:r>
              <w:rPr>
                <w:sz w:val="15"/>
              </w:rPr>
              <w:t>Header</w:t>
            </w:r>
          </w:p>
        </w:tc>
        <w:tc>
          <w:tcPr>
            <w:tcW w:type="dxa" w:w="5112"/>
            <w:vAlign w:val="center"/>
          </w:tcPr>
          <w:p>
            <w:r/>
            <w:r>
              <w:rPr>
                <w:sz w:val="15"/>
              </w:rPr>
              <w:t>Logo, global search, notifications, profile, security state, logout</w:t>
            </w:r>
          </w:p>
        </w:tc>
      </w:tr>
      <w:tr>
        <w:tc>
          <w:tcPr>
            <w:tcW w:type="dxa" w:w="5112"/>
            <w:vAlign w:val="center"/>
            <w:shd w:fill="EEF4F8"/>
          </w:tcPr>
          <w:p>
            <w:r/>
            <w:r>
              <w:rPr>
                <w:sz w:val="15"/>
              </w:rPr>
              <w:t>Sidebar</w:t>
            </w:r>
          </w:p>
        </w:tc>
        <w:tc>
          <w:tcPr>
            <w:tcW w:type="dxa" w:w="5112"/>
            <w:vAlign w:val="center"/>
            <w:shd w:fill="EEF4F8"/>
          </w:tcPr>
          <w:p>
            <w:r/>
            <w:r>
              <w:rPr>
                <w:sz w:val="15"/>
              </w:rPr>
              <w:t>Dashboard, Catalog, Media, CMS, Inventory, Orders, Customers, Marketing, Reports, Security, Settings</w:t>
            </w:r>
          </w:p>
        </w:tc>
      </w:tr>
      <w:tr>
        <w:tc>
          <w:tcPr>
            <w:tcW w:type="dxa" w:w="5112"/>
            <w:vAlign w:val="center"/>
          </w:tcPr>
          <w:p>
            <w:r/>
            <w:r>
              <w:rPr>
                <w:sz w:val="15"/>
              </w:rPr>
              <w:t>Dashboard</w:t>
            </w:r>
          </w:p>
        </w:tc>
        <w:tc>
          <w:tcPr>
            <w:tcW w:type="dxa" w:w="5112"/>
            <w:vAlign w:val="center"/>
          </w:tcPr>
          <w:p>
            <w:r/>
            <w:r>
              <w:rPr>
                <w:sz w:val="15"/>
              </w:rPr>
              <w:t>Sales KPIs, orders, inventory alerts, failed payments, returns, security events</w:t>
            </w:r>
          </w:p>
        </w:tc>
      </w:tr>
      <w:tr>
        <w:tc>
          <w:tcPr>
            <w:tcW w:type="dxa" w:w="5112"/>
            <w:vAlign w:val="center"/>
            <w:shd w:fill="EEF4F8"/>
          </w:tcPr>
          <w:p>
            <w:r/>
            <w:r>
              <w:rPr>
                <w:sz w:val="15"/>
              </w:rPr>
              <w:t>Responsive behavior</w:t>
            </w:r>
          </w:p>
        </w:tc>
        <w:tc>
          <w:tcPr>
            <w:tcW w:type="dxa" w:w="5112"/>
            <w:vAlign w:val="center"/>
            <w:shd w:fill="EEF4F8"/>
          </w:tcPr>
          <w:p>
            <w:r/>
            <w:r>
              <w:rPr>
                <w:sz w:val="15"/>
              </w:rPr>
              <w:t>Desktop sidebar; tablet/mobile drawer; keyboard navigation</w:t>
            </w:r>
          </w:p>
        </w:tc>
      </w:tr>
    </w:tbl>
    <w:p>
      <w:pPr>
        <w:pStyle w:val="Heading2"/>
        <w:keepNext/>
      </w:pPr>
      <w:r>
        <w:t>5.2 Dashboard Data</w:t>
      </w:r>
    </w:p>
    <w:p>
      <w:pPr>
        <w:pStyle w:val="ListBullet"/>
        <w:spacing w:after="40"/>
      </w:pPr>
      <w:r>
        <w:t>Revenue, orders, average order value, refunds, low stock, out-of-stock, failed payments, returns, new customers, suspicious logins, blocked requests and pending operational actions.</w:t>
      </w:r>
    </w:p>
    <w:p>
      <w:pPr>
        <w:pStyle w:val="Heading2"/>
        <w:keepNext/>
      </w:pPr>
      <w:r>
        <w:t>5.3 Security</w:t>
      </w:r>
    </w:p>
    <w:p>
      <w:pPr>
        <w:pStyle w:val="ListBullet"/>
        <w:spacing w:after="40"/>
      </w:pPr>
      <w:r>
        <w:t>Dashboard widgets must only show data allowed by the admin role. Sensitive metrics must not leak to low-privilege users.</w:t>
      </w:r>
    </w:p>
    <w:p>
      <w:pPr>
        <w:pStyle w:val="Heading1"/>
        <w:keepNext/>
      </w:pPr>
      <w:r>
        <w:t>6. Module 03 - Admin User, Role &amp; Permission Management</w:t>
      </w:r>
    </w:p>
    <w:p>
      <w:r>
        <w:t>Do not implement a single generic “Admin” role. Use role-based permissions and enforce them at the API, not only in the UI.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Role</w:t>
            </w:r>
          </w:p>
        </w:tc>
        <w:tc>
          <w:tcPr>
            <w:tcW w:type="dxa" w:w="3408"/>
            <w:shd w:fill="17324D"/>
          </w:tcPr>
          <w:p>
            <w:r/>
            <w:r>
              <w:rPr>
                <w:b/>
                <w:color w:val="FFFFFF"/>
                <w:sz w:val="16"/>
              </w:rPr>
              <w:t>Typical Access</w:t>
            </w:r>
          </w:p>
        </w:tc>
        <w:tc>
          <w:tcPr>
            <w:tcW w:type="dxa" w:w="3408"/>
            <w:shd w:fill="17324D"/>
          </w:tcPr>
          <w:p>
            <w:r/>
            <w:r>
              <w:rPr>
                <w:b/>
                <w:color w:val="FFFFFF"/>
                <w:sz w:val="16"/>
              </w:rPr>
              <w:t>High-Risk Control</w:t>
            </w:r>
          </w:p>
        </w:tc>
      </w:tr>
      <w:tr>
        <w:tc>
          <w:tcPr>
            <w:tcW w:type="dxa" w:w="3408"/>
            <w:vAlign w:val="center"/>
          </w:tcPr>
          <w:p>
            <w:r/>
            <w:r>
              <w:rPr>
                <w:sz w:val="15"/>
              </w:rPr>
              <w:t>Super Admin</w:t>
            </w:r>
          </w:p>
        </w:tc>
        <w:tc>
          <w:tcPr>
            <w:tcW w:type="dxa" w:w="3408"/>
            <w:vAlign w:val="center"/>
          </w:tcPr>
          <w:p>
            <w:r/>
            <w:r>
              <w:rPr>
                <w:sz w:val="15"/>
              </w:rPr>
              <w:t>System-wide configuration</w:t>
            </w:r>
          </w:p>
        </w:tc>
        <w:tc>
          <w:tcPr>
            <w:tcW w:type="dxa" w:w="3408"/>
            <w:vAlign w:val="center"/>
          </w:tcPr>
          <w:p>
            <w:r/>
            <w:r>
              <w:rPr>
                <w:sz w:val="15"/>
              </w:rPr>
              <w:t>MFA + break-glass/audit controls</w:t>
            </w:r>
          </w:p>
        </w:tc>
      </w:tr>
      <w:tr>
        <w:tc>
          <w:tcPr>
            <w:tcW w:type="dxa" w:w="3408"/>
            <w:vAlign w:val="center"/>
            <w:shd w:fill="EEF4F8"/>
          </w:tcPr>
          <w:p>
            <w:r/>
            <w:r>
              <w:rPr>
                <w:sz w:val="15"/>
              </w:rPr>
              <w:t>Security Admin</w:t>
            </w:r>
          </w:p>
        </w:tc>
        <w:tc>
          <w:tcPr>
            <w:tcW w:type="dxa" w:w="3408"/>
            <w:vAlign w:val="center"/>
            <w:shd w:fill="EEF4F8"/>
          </w:tcPr>
          <w:p>
            <w:r/>
            <w:r>
              <w:rPr>
                <w:sz w:val="15"/>
              </w:rPr>
              <w:t>Security, users, audit</w:t>
            </w:r>
          </w:p>
        </w:tc>
        <w:tc>
          <w:tcPr>
            <w:tcW w:type="dxa" w:w="3408"/>
            <w:vAlign w:val="center"/>
            <w:shd w:fill="EEF4F8"/>
          </w:tcPr>
          <w:p>
            <w:r/>
            <w:r>
              <w:rPr>
                <w:sz w:val="15"/>
              </w:rPr>
              <w:t>No default financial authority</w:t>
            </w:r>
          </w:p>
        </w:tc>
      </w:tr>
      <w:tr>
        <w:tc>
          <w:tcPr>
            <w:tcW w:type="dxa" w:w="3408"/>
            <w:vAlign w:val="center"/>
          </w:tcPr>
          <w:p>
            <w:r/>
            <w:r>
              <w:rPr>
                <w:sz w:val="15"/>
              </w:rPr>
              <w:t>Catalog Manager</w:t>
            </w:r>
          </w:p>
        </w:tc>
        <w:tc>
          <w:tcPr>
            <w:tcW w:type="dxa" w:w="3408"/>
            <w:vAlign w:val="center"/>
          </w:tcPr>
          <w:p>
            <w:r/>
            <w:r>
              <w:rPr>
                <w:sz w:val="15"/>
              </w:rPr>
              <w:t>Products, categories, media</w:t>
            </w:r>
          </w:p>
        </w:tc>
        <w:tc>
          <w:tcPr>
            <w:tcW w:type="dxa" w:w="3408"/>
            <w:vAlign w:val="center"/>
          </w:tcPr>
          <w:p>
            <w:r/>
            <w:r>
              <w:rPr>
                <w:sz w:val="15"/>
              </w:rPr>
              <w:t>Publishing/bulk delete controls</w:t>
            </w:r>
          </w:p>
        </w:tc>
      </w:tr>
      <w:tr>
        <w:tc>
          <w:tcPr>
            <w:tcW w:type="dxa" w:w="3408"/>
            <w:vAlign w:val="center"/>
            <w:shd w:fill="EEF4F8"/>
          </w:tcPr>
          <w:p>
            <w:r/>
            <w:r>
              <w:rPr>
                <w:sz w:val="15"/>
              </w:rPr>
              <w:t>Media Manager</w:t>
            </w:r>
          </w:p>
        </w:tc>
        <w:tc>
          <w:tcPr>
            <w:tcW w:type="dxa" w:w="3408"/>
            <w:vAlign w:val="center"/>
            <w:shd w:fill="EEF4F8"/>
          </w:tcPr>
          <w:p>
            <w:r/>
            <w:r>
              <w:rPr>
                <w:sz w:val="15"/>
              </w:rPr>
              <w:t>Media library</w:t>
            </w:r>
          </w:p>
        </w:tc>
        <w:tc>
          <w:tcPr>
            <w:tcW w:type="dxa" w:w="3408"/>
            <w:vAlign w:val="center"/>
            <w:shd w:fill="EEF4F8"/>
          </w:tcPr>
          <w:p>
            <w:r/>
            <w:r>
              <w:rPr>
                <w:sz w:val="15"/>
              </w:rPr>
              <w:t>Upload/delete audit</w:t>
            </w:r>
          </w:p>
        </w:tc>
      </w:tr>
      <w:tr>
        <w:tc>
          <w:tcPr>
            <w:tcW w:type="dxa" w:w="3408"/>
            <w:vAlign w:val="center"/>
          </w:tcPr>
          <w:p>
            <w:r/>
            <w:r>
              <w:rPr>
                <w:sz w:val="15"/>
              </w:rPr>
              <w:t>Inventory Manager</w:t>
            </w:r>
          </w:p>
        </w:tc>
        <w:tc>
          <w:tcPr>
            <w:tcW w:type="dxa" w:w="3408"/>
            <w:vAlign w:val="center"/>
          </w:tcPr>
          <w:p>
            <w:r/>
            <w:r>
              <w:rPr>
                <w:sz w:val="15"/>
              </w:rPr>
              <w:t>Stock and reservations</w:t>
            </w:r>
          </w:p>
        </w:tc>
        <w:tc>
          <w:tcPr>
            <w:tcW w:type="dxa" w:w="3408"/>
            <w:vAlign w:val="center"/>
          </w:tcPr>
          <w:p>
            <w:r/>
            <w:r>
              <w:rPr>
                <w:sz w:val="15"/>
              </w:rPr>
              <w:t>Large adjustment approval</w:t>
            </w:r>
          </w:p>
        </w:tc>
      </w:tr>
      <w:tr>
        <w:tc>
          <w:tcPr>
            <w:tcW w:type="dxa" w:w="3408"/>
            <w:vAlign w:val="center"/>
            <w:shd w:fill="EEF4F8"/>
          </w:tcPr>
          <w:p>
            <w:r/>
            <w:r>
              <w:rPr>
                <w:sz w:val="15"/>
              </w:rPr>
              <w:t>Order Manager</w:t>
            </w:r>
          </w:p>
        </w:tc>
        <w:tc>
          <w:tcPr>
            <w:tcW w:type="dxa" w:w="3408"/>
            <w:vAlign w:val="center"/>
            <w:shd w:fill="EEF4F8"/>
          </w:tcPr>
          <w:p>
            <w:r/>
            <w:r>
              <w:rPr>
                <w:sz w:val="15"/>
              </w:rPr>
              <w:t>Orders/fulfillment</w:t>
            </w:r>
          </w:p>
        </w:tc>
        <w:tc>
          <w:tcPr>
            <w:tcW w:type="dxa" w:w="3408"/>
            <w:vAlign w:val="center"/>
            <w:shd w:fill="EEF4F8"/>
          </w:tcPr>
          <w:p>
            <w:r/>
            <w:r>
              <w:rPr>
                <w:sz w:val="15"/>
              </w:rPr>
              <w:t>Refund thresholds</w:t>
            </w:r>
          </w:p>
        </w:tc>
      </w:tr>
      <w:tr>
        <w:tc>
          <w:tcPr>
            <w:tcW w:type="dxa" w:w="3408"/>
            <w:vAlign w:val="center"/>
          </w:tcPr>
          <w:p>
            <w:r/>
            <w:r>
              <w:rPr>
                <w:sz w:val="15"/>
              </w:rPr>
              <w:t>Finance</w:t>
            </w:r>
          </w:p>
        </w:tc>
        <w:tc>
          <w:tcPr>
            <w:tcW w:type="dxa" w:w="3408"/>
            <w:vAlign w:val="center"/>
          </w:tcPr>
          <w:p>
            <w:r/>
            <w:r>
              <w:rPr>
                <w:sz w:val="15"/>
              </w:rPr>
              <w:t>Refunds/reconciliation</w:t>
            </w:r>
          </w:p>
        </w:tc>
        <w:tc>
          <w:tcPr>
            <w:tcW w:type="dxa" w:w="3408"/>
            <w:vAlign w:val="center"/>
          </w:tcPr>
          <w:p>
            <w:r/>
            <w:r>
              <w:rPr>
                <w:sz w:val="15"/>
              </w:rPr>
              <w:t>Dual approval for large refunds</w:t>
            </w:r>
          </w:p>
        </w:tc>
      </w:tr>
      <w:tr>
        <w:tc>
          <w:tcPr>
            <w:tcW w:type="dxa" w:w="3408"/>
            <w:vAlign w:val="center"/>
            <w:shd w:fill="EEF4F8"/>
          </w:tcPr>
          <w:p>
            <w:r/>
            <w:r>
              <w:rPr>
                <w:sz w:val="15"/>
              </w:rPr>
              <w:t>Marketing</w:t>
            </w:r>
          </w:p>
        </w:tc>
        <w:tc>
          <w:tcPr>
            <w:tcW w:type="dxa" w:w="3408"/>
            <w:vAlign w:val="center"/>
            <w:shd w:fill="EEF4F8"/>
          </w:tcPr>
          <w:p>
            <w:r/>
            <w:r>
              <w:rPr>
                <w:sz w:val="15"/>
              </w:rPr>
              <w:t>Promotions/content</w:t>
            </w:r>
          </w:p>
        </w:tc>
        <w:tc>
          <w:tcPr>
            <w:tcW w:type="dxa" w:w="3408"/>
            <w:vAlign w:val="center"/>
            <w:shd w:fill="EEF4F8"/>
          </w:tcPr>
          <w:p>
            <w:r/>
            <w:r>
              <w:rPr>
                <w:sz w:val="15"/>
              </w:rPr>
              <w:t>Coupon limits</w:t>
            </w:r>
          </w:p>
        </w:tc>
      </w:tr>
      <w:tr>
        <w:tc>
          <w:tcPr>
            <w:tcW w:type="dxa" w:w="3408"/>
            <w:vAlign w:val="center"/>
          </w:tcPr>
          <w:p>
            <w:r/>
            <w:r>
              <w:rPr>
                <w:sz w:val="15"/>
              </w:rPr>
              <w:t>Support</w:t>
            </w:r>
          </w:p>
        </w:tc>
        <w:tc>
          <w:tcPr>
            <w:tcW w:type="dxa" w:w="3408"/>
            <w:vAlign w:val="center"/>
          </w:tcPr>
          <w:p>
            <w:r/>
            <w:r>
              <w:rPr>
                <w:sz w:val="15"/>
              </w:rPr>
              <w:t>Customer/order support</w:t>
            </w:r>
          </w:p>
        </w:tc>
        <w:tc>
          <w:tcPr>
            <w:tcW w:type="dxa" w:w="3408"/>
            <w:vAlign w:val="center"/>
          </w:tcPr>
          <w:p>
            <w:r/>
            <w:r>
              <w:rPr>
                <w:sz w:val="15"/>
              </w:rPr>
              <w:t>Masked PII and restricted export</w:t>
            </w:r>
          </w:p>
        </w:tc>
      </w:tr>
      <w:tr>
        <w:tc>
          <w:tcPr>
            <w:tcW w:type="dxa" w:w="3408"/>
            <w:vAlign w:val="center"/>
            <w:shd w:fill="EEF4F8"/>
          </w:tcPr>
          <w:p>
            <w:r/>
            <w:r>
              <w:rPr>
                <w:sz w:val="15"/>
              </w:rPr>
              <w:t>Analyst</w:t>
            </w:r>
          </w:p>
        </w:tc>
        <w:tc>
          <w:tcPr>
            <w:tcW w:type="dxa" w:w="3408"/>
            <w:vAlign w:val="center"/>
            <w:shd w:fill="EEF4F8"/>
          </w:tcPr>
          <w:p>
            <w:r/>
            <w:r>
              <w:rPr>
                <w:sz w:val="15"/>
              </w:rPr>
              <w:t>Read-only reporting</w:t>
            </w:r>
          </w:p>
        </w:tc>
        <w:tc>
          <w:tcPr>
            <w:tcW w:type="dxa" w:w="3408"/>
            <w:vAlign w:val="center"/>
            <w:shd w:fill="EEF4F8"/>
          </w:tcPr>
          <w:p>
            <w:r/>
            <w:r>
              <w:rPr>
                <w:sz w:val="15"/>
              </w:rPr>
              <w:t>Export scope and audit</w:t>
            </w:r>
          </w:p>
        </w:tc>
      </w:tr>
    </w:tbl>
    <w:p>
      <w:pPr>
        <w:pStyle w:val="Heading2"/>
        <w:keepNext/>
      </w:pPr>
      <w:r>
        <w:t>6.1 Permission Model</w:t>
      </w:r>
    </w:p>
    <w:p>
      <w:r>
        <w:t>User → Role → Permission → Resource → Action. A hidden UI button is not an authorization control; every sensitive API operation must independently verify the user’s permission.</w:t>
      </w:r>
    </w:p>
    <w:p>
      <w:pPr>
        <w:pStyle w:val="Heading1"/>
        <w:keepNext/>
      </w:pPr>
      <w:r>
        <w:t>7. Module 04 - CMS / Website Pages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Feature</w:t>
            </w:r>
          </w:p>
        </w:tc>
        <w:tc>
          <w:tcPr>
            <w:tcW w:type="dxa" w:w="3408"/>
            <w:shd w:fill="17324D"/>
          </w:tcPr>
          <w:p>
            <w:r/>
            <w:r>
              <w:rPr>
                <w:b/>
                <w:color w:val="FFFFFF"/>
                <w:sz w:val="16"/>
              </w:rPr>
              <w:t>Admin Capability</w:t>
            </w:r>
          </w:p>
        </w:tc>
        <w:tc>
          <w:tcPr>
            <w:tcW w:type="dxa" w:w="3408"/>
            <w:shd w:fill="17324D"/>
          </w:tcPr>
          <w:p>
            <w:r/>
            <w:r>
              <w:rPr>
                <w:b/>
                <w:color w:val="FFFFFF"/>
                <w:sz w:val="16"/>
              </w:rPr>
              <w:t>Security</w:t>
            </w:r>
          </w:p>
        </w:tc>
      </w:tr>
      <w:tr>
        <w:tc>
          <w:tcPr>
            <w:tcW w:type="dxa" w:w="3408"/>
            <w:vAlign w:val="center"/>
          </w:tcPr>
          <w:p>
            <w:r/>
            <w:r>
              <w:rPr>
                <w:sz w:val="15"/>
              </w:rPr>
              <w:t>Page list</w:t>
            </w:r>
          </w:p>
        </w:tc>
        <w:tc>
          <w:tcPr>
            <w:tcW w:type="dxa" w:w="3408"/>
            <w:vAlign w:val="center"/>
          </w:tcPr>
          <w:p>
            <w:r/>
            <w:r>
              <w:rPr>
                <w:sz w:val="15"/>
              </w:rPr>
              <w:t>Search/filter/status/sort</w:t>
            </w:r>
          </w:p>
        </w:tc>
        <w:tc>
          <w:tcPr>
            <w:tcW w:type="dxa" w:w="3408"/>
            <w:vAlign w:val="center"/>
          </w:tcPr>
          <w:p>
            <w:r/>
            <w:r>
              <w:rPr>
                <w:sz w:val="15"/>
              </w:rPr>
              <w:t>RBAC</w:t>
            </w:r>
          </w:p>
        </w:tc>
      </w:tr>
      <w:tr>
        <w:tc>
          <w:tcPr>
            <w:tcW w:type="dxa" w:w="3408"/>
            <w:vAlign w:val="center"/>
            <w:shd w:fill="EEF4F8"/>
          </w:tcPr>
          <w:p>
            <w:r/>
            <w:r>
              <w:rPr>
                <w:sz w:val="15"/>
              </w:rPr>
              <w:t>Editor</w:t>
            </w:r>
          </w:p>
        </w:tc>
        <w:tc>
          <w:tcPr>
            <w:tcW w:type="dxa" w:w="3408"/>
            <w:vAlign w:val="center"/>
            <w:shd w:fill="EEF4F8"/>
          </w:tcPr>
          <w:p>
            <w:r/>
            <w:r>
              <w:rPr>
                <w:sz w:val="15"/>
              </w:rPr>
              <w:t>Rich content, sections, CTA, metadata</w:t>
            </w:r>
          </w:p>
        </w:tc>
        <w:tc>
          <w:tcPr>
            <w:tcW w:type="dxa" w:w="3408"/>
            <w:vAlign w:val="center"/>
            <w:shd w:fill="EEF4F8"/>
          </w:tcPr>
          <w:p>
            <w:r/>
            <w:r>
              <w:rPr>
                <w:sz w:val="15"/>
              </w:rPr>
              <w:t>Sanitize HTML; prevent stored XSS</w:t>
            </w:r>
          </w:p>
        </w:tc>
      </w:tr>
      <w:tr>
        <w:tc>
          <w:tcPr>
            <w:tcW w:type="dxa" w:w="3408"/>
            <w:vAlign w:val="center"/>
          </w:tcPr>
          <w:p>
            <w:r/>
            <w:r>
              <w:rPr>
                <w:sz w:val="15"/>
              </w:rPr>
              <w:t>SEO</w:t>
            </w:r>
          </w:p>
        </w:tc>
        <w:tc>
          <w:tcPr>
            <w:tcW w:type="dxa" w:w="3408"/>
            <w:vAlign w:val="center"/>
          </w:tcPr>
          <w:p>
            <w:r/>
            <w:r>
              <w:rPr>
                <w:sz w:val="15"/>
              </w:rPr>
              <w:t>Title, meta description, OG image, canonical URL</w:t>
            </w:r>
          </w:p>
        </w:tc>
        <w:tc>
          <w:tcPr>
            <w:tcW w:type="dxa" w:w="3408"/>
            <w:vAlign w:val="center"/>
          </w:tcPr>
          <w:p>
            <w:r/>
            <w:r>
              <w:rPr>
                <w:sz w:val="15"/>
              </w:rPr>
              <w:t>Validate URLs and fields</w:t>
            </w:r>
          </w:p>
        </w:tc>
      </w:tr>
      <w:tr>
        <w:tc>
          <w:tcPr>
            <w:tcW w:type="dxa" w:w="3408"/>
            <w:vAlign w:val="center"/>
            <w:shd w:fill="EEF4F8"/>
          </w:tcPr>
          <w:p>
            <w:r/>
            <w:r>
              <w:rPr>
                <w:sz w:val="15"/>
              </w:rPr>
              <w:t>Workflow</w:t>
            </w:r>
          </w:p>
        </w:tc>
        <w:tc>
          <w:tcPr>
            <w:tcW w:type="dxa" w:w="3408"/>
            <w:vAlign w:val="center"/>
            <w:shd w:fill="EEF4F8"/>
          </w:tcPr>
          <w:p>
            <w:r/>
            <w:r>
              <w:rPr>
                <w:sz w:val="15"/>
              </w:rPr>
              <w:t>Draft → Review → Approved → Published</w:t>
            </w:r>
          </w:p>
        </w:tc>
        <w:tc>
          <w:tcPr>
            <w:tcW w:type="dxa" w:w="3408"/>
            <w:vAlign w:val="center"/>
            <w:shd w:fill="EEF4F8"/>
          </w:tcPr>
          <w:p>
            <w:r/>
            <w:r>
              <w:rPr>
                <w:sz w:val="15"/>
              </w:rPr>
              <w:t>Approval permissions</w:t>
            </w:r>
          </w:p>
        </w:tc>
      </w:tr>
      <w:tr>
        <w:tc>
          <w:tcPr>
            <w:tcW w:type="dxa" w:w="3408"/>
            <w:vAlign w:val="center"/>
          </w:tcPr>
          <w:p>
            <w:r/>
            <w:r>
              <w:rPr>
                <w:sz w:val="15"/>
              </w:rPr>
              <w:t>Scheduling</w:t>
            </w:r>
          </w:p>
        </w:tc>
        <w:tc>
          <w:tcPr>
            <w:tcW w:type="dxa" w:w="3408"/>
            <w:vAlign w:val="center"/>
          </w:tcPr>
          <w:p>
            <w:r/>
            <w:r>
              <w:rPr>
                <w:sz w:val="15"/>
              </w:rPr>
              <w:t>Publish/unpublish at a future date</w:t>
            </w:r>
          </w:p>
        </w:tc>
        <w:tc>
          <w:tcPr>
            <w:tcW w:type="dxa" w:w="3408"/>
            <w:vAlign w:val="center"/>
          </w:tcPr>
          <w:p>
            <w:r/>
            <w:r>
              <w:rPr>
                <w:sz w:val="15"/>
              </w:rPr>
              <w:t>Server-side schedule</w:t>
            </w:r>
          </w:p>
        </w:tc>
      </w:tr>
      <w:tr>
        <w:tc>
          <w:tcPr>
            <w:tcW w:type="dxa" w:w="3408"/>
            <w:vAlign w:val="center"/>
            <w:shd w:fill="EEF4F8"/>
          </w:tcPr>
          <w:p>
            <w:r/>
            <w:r>
              <w:rPr>
                <w:sz w:val="15"/>
              </w:rPr>
              <w:t>Versioning</w:t>
            </w:r>
          </w:p>
        </w:tc>
        <w:tc>
          <w:tcPr>
            <w:tcW w:type="dxa" w:w="3408"/>
            <w:vAlign w:val="center"/>
            <w:shd w:fill="EEF4F8"/>
          </w:tcPr>
          <w:p>
            <w:r/>
            <w:r>
              <w:rPr>
                <w:sz w:val="15"/>
              </w:rPr>
              <w:t>View/recover previous versions</w:t>
            </w:r>
          </w:p>
        </w:tc>
        <w:tc>
          <w:tcPr>
            <w:tcW w:type="dxa" w:w="3408"/>
            <w:vAlign w:val="center"/>
            <w:shd w:fill="EEF4F8"/>
          </w:tcPr>
          <w:p>
            <w:r/>
            <w:r>
              <w:rPr>
                <w:sz w:val="15"/>
              </w:rPr>
              <w:t>Audit changes</w:t>
            </w:r>
          </w:p>
        </w:tc>
      </w:tr>
      <w:tr>
        <w:tc>
          <w:tcPr>
            <w:tcW w:type="dxa" w:w="3408"/>
            <w:vAlign w:val="center"/>
          </w:tcPr>
          <w:p>
            <w:r/>
            <w:r>
              <w:rPr>
                <w:sz w:val="15"/>
              </w:rPr>
              <w:t>Delete</w:t>
            </w:r>
          </w:p>
        </w:tc>
        <w:tc>
          <w:tcPr>
            <w:tcW w:type="dxa" w:w="3408"/>
            <w:vAlign w:val="center"/>
          </w:tcPr>
          <w:p>
            <w:r/>
            <w:r>
              <w:rPr>
                <w:sz w:val="15"/>
              </w:rPr>
              <w:t>Archive/soft delete where appropriate</w:t>
            </w:r>
          </w:p>
        </w:tc>
        <w:tc>
          <w:tcPr>
            <w:tcW w:type="dxa" w:w="3408"/>
            <w:vAlign w:val="center"/>
          </w:tcPr>
          <w:p>
            <w:r/>
            <w:r>
              <w:rPr>
                <w:sz w:val="15"/>
              </w:rPr>
              <w:t>Confirmation + audit</w:t>
            </w:r>
          </w:p>
        </w:tc>
      </w:tr>
    </w:tbl>
    <w:p>
      <w:pPr>
        <w:pStyle w:val="Heading1"/>
        <w:keepNext/>
      </w:pPr>
      <w:r>
        <w:t>8. Module 05 - Media / Image / Video Management</w:t>
      </w:r>
    </w:p>
    <w:p>
      <w:r>
        <w:t>This module is responsible for secure handling of product photography, banners, certificates, videos and other assets.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Capability</w:t>
            </w:r>
          </w:p>
        </w:tc>
        <w:tc>
          <w:tcPr>
            <w:tcW w:type="dxa" w:w="5112"/>
            <w:shd w:fill="17324D"/>
          </w:tcPr>
          <w:p>
            <w:r/>
            <w:r>
              <w:rPr>
                <w:b/>
                <w:color w:val="FFFFFF"/>
                <w:sz w:val="16"/>
              </w:rPr>
              <w:t>Requirement</w:t>
            </w:r>
          </w:p>
        </w:tc>
      </w:tr>
      <w:tr>
        <w:tc>
          <w:tcPr>
            <w:tcW w:type="dxa" w:w="5112"/>
            <w:vAlign w:val="center"/>
          </w:tcPr>
          <w:p>
            <w:r/>
            <w:r>
              <w:rPr>
                <w:sz w:val="15"/>
              </w:rPr>
              <w:t>Upload</w:t>
            </w:r>
          </w:p>
        </w:tc>
        <w:tc>
          <w:tcPr>
            <w:tcW w:type="dxa" w:w="5112"/>
            <w:vAlign w:val="center"/>
          </w:tcPr>
          <w:p>
            <w:r/>
            <w:r>
              <w:rPr>
                <w:sz w:val="15"/>
              </w:rPr>
              <w:t>Single and multi-file upload</w:t>
            </w:r>
          </w:p>
        </w:tc>
      </w:tr>
      <w:tr>
        <w:tc>
          <w:tcPr>
            <w:tcW w:type="dxa" w:w="5112"/>
            <w:vAlign w:val="center"/>
            <w:shd w:fill="EEF4F8"/>
          </w:tcPr>
          <w:p>
            <w:r/>
            <w:r>
              <w:rPr>
                <w:sz w:val="15"/>
              </w:rPr>
              <w:t>Types</w:t>
            </w:r>
          </w:p>
        </w:tc>
        <w:tc>
          <w:tcPr>
            <w:tcW w:type="dxa" w:w="5112"/>
            <w:vAlign w:val="center"/>
            <w:shd w:fill="EEF4F8"/>
          </w:tcPr>
          <w:p>
            <w:r/>
            <w:r>
              <w:rPr>
                <w:sz w:val="15"/>
              </w:rPr>
              <w:t>Strict allowlist such as JPEG, PNG, WebP, AVIF; SVG only if safely sanitized and required</w:t>
            </w:r>
          </w:p>
        </w:tc>
      </w:tr>
      <w:tr>
        <w:tc>
          <w:tcPr>
            <w:tcW w:type="dxa" w:w="5112"/>
            <w:vAlign w:val="center"/>
          </w:tcPr>
          <w:p>
            <w:r/>
            <w:r>
              <w:rPr>
                <w:sz w:val="15"/>
              </w:rPr>
              <w:t>Validation</w:t>
            </w:r>
          </w:p>
        </w:tc>
        <w:tc>
          <w:tcPr>
            <w:tcW w:type="dxa" w:w="5112"/>
            <w:vAlign w:val="center"/>
          </w:tcPr>
          <w:p>
            <w:r/>
            <w:r>
              <w:rPr>
                <w:sz w:val="15"/>
              </w:rPr>
              <w:t>Extension, MIME, content and size validation</w:t>
            </w:r>
          </w:p>
        </w:tc>
      </w:tr>
      <w:tr>
        <w:tc>
          <w:tcPr>
            <w:tcW w:type="dxa" w:w="5112"/>
            <w:vAlign w:val="center"/>
            <w:shd w:fill="EEF4F8"/>
          </w:tcPr>
          <w:p>
            <w:r/>
            <w:r>
              <w:rPr>
                <w:sz w:val="15"/>
              </w:rPr>
              <w:t>Scanning</w:t>
            </w:r>
          </w:p>
        </w:tc>
        <w:tc>
          <w:tcPr>
            <w:tcW w:type="dxa" w:w="5112"/>
            <w:vAlign w:val="center"/>
            <w:shd w:fill="EEF4F8"/>
          </w:tcPr>
          <w:p>
            <w:r/>
            <w:r>
              <w:rPr>
                <w:sz w:val="15"/>
              </w:rPr>
              <w:t>Malware/content scanning and quarantine for untrusted files</w:t>
            </w:r>
          </w:p>
        </w:tc>
      </w:tr>
      <w:tr>
        <w:tc>
          <w:tcPr>
            <w:tcW w:type="dxa" w:w="5112"/>
            <w:vAlign w:val="center"/>
          </w:tcPr>
          <w:p>
            <w:r/>
            <w:r>
              <w:rPr>
                <w:sz w:val="15"/>
              </w:rPr>
              <w:t>Storage</w:t>
            </w:r>
          </w:p>
        </w:tc>
        <w:tc>
          <w:tcPr>
            <w:tcW w:type="dxa" w:w="5112"/>
            <w:vAlign w:val="center"/>
          </w:tcPr>
          <w:p>
            <w:r/>
            <w:r>
              <w:rPr>
                <w:sz w:val="15"/>
              </w:rPr>
              <w:t>Private object storage; controlled CDN delivery</w:t>
            </w:r>
          </w:p>
        </w:tc>
      </w:tr>
      <w:tr>
        <w:tc>
          <w:tcPr>
            <w:tcW w:type="dxa" w:w="5112"/>
            <w:vAlign w:val="center"/>
            <w:shd w:fill="EEF4F8"/>
          </w:tcPr>
          <w:p>
            <w:r/>
            <w:r>
              <w:rPr>
                <w:sz w:val="15"/>
              </w:rPr>
              <w:t>Processing</w:t>
            </w:r>
          </w:p>
        </w:tc>
        <w:tc>
          <w:tcPr>
            <w:tcW w:type="dxa" w:w="5112"/>
            <w:vAlign w:val="center"/>
            <w:shd w:fill="EEF4F8"/>
          </w:tcPr>
          <w:p>
            <w:r/>
            <w:r>
              <w:rPr>
                <w:sz w:val="15"/>
              </w:rPr>
              <w:t>Generate thumbnails, responsive sizes and optimized formats asynchronously</w:t>
            </w:r>
          </w:p>
        </w:tc>
      </w:tr>
      <w:tr>
        <w:tc>
          <w:tcPr>
            <w:tcW w:type="dxa" w:w="5112"/>
            <w:vAlign w:val="center"/>
          </w:tcPr>
          <w:p>
            <w:r/>
            <w:r>
              <w:rPr>
                <w:sz w:val="15"/>
              </w:rPr>
              <w:t>Metadata</w:t>
            </w:r>
          </w:p>
        </w:tc>
        <w:tc>
          <w:tcPr>
            <w:tcW w:type="dxa" w:w="5112"/>
            <w:vAlign w:val="center"/>
          </w:tcPr>
          <w:p>
            <w:r/>
            <w:r>
              <w:rPr>
                <w:sz w:val="15"/>
              </w:rPr>
              <w:t>Alt text, caption, focal point, usage reference</w:t>
            </w:r>
          </w:p>
        </w:tc>
      </w:tr>
      <w:tr>
        <w:tc>
          <w:tcPr>
            <w:tcW w:type="dxa" w:w="5112"/>
            <w:vAlign w:val="center"/>
            <w:shd w:fill="EEF4F8"/>
          </w:tcPr>
          <w:p>
            <w:r/>
            <w:r>
              <w:rPr>
                <w:sz w:val="15"/>
              </w:rPr>
              <w:t>Usage</w:t>
            </w:r>
          </w:p>
        </w:tc>
        <w:tc>
          <w:tcPr>
            <w:tcW w:type="dxa" w:w="5112"/>
            <w:vAlign w:val="center"/>
            <w:shd w:fill="EEF4F8"/>
          </w:tcPr>
          <w:p>
            <w:r/>
            <w:r>
              <w:rPr>
                <w:sz w:val="15"/>
              </w:rPr>
              <w:t>Show which products/pages reference an asset</w:t>
            </w:r>
          </w:p>
        </w:tc>
      </w:tr>
      <w:tr>
        <w:tc>
          <w:tcPr>
            <w:tcW w:type="dxa" w:w="5112"/>
            <w:vAlign w:val="center"/>
          </w:tcPr>
          <w:p>
            <w:r/>
            <w:r>
              <w:rPr>
                <w:sz w:val="15"/>
              </w:rPr>
              <w:t>Deletion</w:t>
            </w:r>
          </w:p>
        </w:tc>
        <w:tc>
          <w:tcPr>
            <w:tcW w:type="dxa" w:w="5112"/>
            <w:vAlign w:val="center"/>
          </w:tcPr>
          <w:p>
            <w:r/>
            <w:r>
              <w:rPr>
                <w:sz w:val="15"/>
              </w:rPr>
              <w:t>Prevent deletion if required by published content or warn with dependency list</w:t>
            </w:r>
          </w:p>
        </w:tc>
      </w:tr>
    </w:tbl>
    <w:p>
      <w:pPr>
        <w:pStyle w:val="Heading2"/>
        <w:keepNext/>
      </w:pPr>
      <w:r>
        <w:t>8.1 Secure Media Pipeline</w:t>
      </w:r>
    </w:p>
    <w:p>
      <w:r>
        <w:t>Admin → Upload API → Authentication → Permission Check → Size/Type Validation → Content Scan → Quarantine → Transformation → Object Storage → CDN → Published URL</w:t>
      </w:r>
    </w:p>
    <w:p>
      <w:pPr>
        <w:pStyle w:val="Heading2"/>
        <w:keepNext/>
      </w:pPr>
      <w:r>
        <w:t>8.2 Media Threats</w:t>
      </w:r>
    </w:p>
    <w:p>
      <w:pPr>
        <w:pStyle w:val="ListBullet"/>
        <w:spacing w:after="40"/>
      </w:pPr>
      <w:r>
        <w:t>Malicious SVG, web shell upload, MIME spoofing, polyglot files, path traversal, image bombs, oversized payloads, metadata leakage, parser vulnerabilities and SSRF through unsafe image-processing URLs.</w:t>
      </w:r>
    </w:p>
    <w:p>
      <w:pPr>
        <w:pStyle w:val="Heading1"/>
        <w:keepNext/>
      </w:pPr>
      <w:r>
        <w:t>9. Module 06 - Jewellery Categories &amp; Attribute Management</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Domain</w:t>
            </w:r>
          </w:p>
        </w:tc>
        <w:tc>
          <w:tcPr>
            <w:tcW w:type="dxa" w:w="5112"/>
            <w:shd w:fill="17324D"/>
          </w:tcPr>
          <w:p>
            <w:r/>
            <w:r>
              <w:rPr>
                <w:b/>
                <w:color w:val="FFFFFF"/>
                <w:sz w:val="16"/>
              </w:rPr>
              <w:t>Examples</w:t>
            </w:r>
          </w:p>
        </w:tc>
      </w:tr>
      <w:tr>
        <w:tc>
          <w:tcPr>
            <w:tcW w:type="dxa" w:w="5112"/>
            <w:vAlign w:val="center"/>
          </w:tcPr>
          <w:p>
            <w:r/>
            <w:r>
              <w:rPr>
                <w:sz w:val="15"/>
              </w:rPr>
              <w:t>Category</w:t>
            </w:r>
          </w:p>
        </w:tc>
        <w:tc>
          <w:tcPr>
            <w:tcW w:type="dxa" w:w="5112"/>
            <w:vAlign w:val="center"/>
          </w:tcPr>
          <w:p>
            <w:r/>
            <w:r>
              <w:rPr>
                <w:sz w:val="15"/>
              </w:rPr>
              <w:t>Rings, necklaces, earrings, bracelets, bangles, pendants, ornaments</w:t>
            </w:r>
          </w:p>
        </w:tc>
      </w:tr>
      <w:tr>
        <w:tc>
          <w:tcPr>
            <w:tcW w:type="dxa" w:w="5112"/>
            <w:vAlign w:val="center"/>
            <w:shd w:fill="EEF4F8"/>
          </w:tcPr>
          <w:p>
            <w:r/>
            <w:r>
              <w:rPr>
                <w:sz w:val="15"/>
              </w:rPr>
              <w:t>Material</w:t>
            </w:r>
          </w:p>
        </w:tc>
        <w:tc>
          <w:tcPr>
            <w:tcW w:type="dxa" w:w="5112"/>
            <w:vAlign w:val="center"/>
            <w:shd w:fill="EEF4F8"/>
          </w:tcPr>
          <w:p>
            <w:r/>
            <w:r>
              <w:rPr>
                <w:sz w:val="15"/>
              </w:rPr>
              <w:t>Gold, silver, platinum, alloy, vermeil</w:t>
            </w:r>
          </w:p>
        </w:tc>
      </w:tr>
      <w:tr>
        <w:tc>
          <w:tcPr>
            <w:tcW w:type="dxa" w:w="5112"/>
            <w:vAlign w:val="center"/>
          </w:tcPr>
          <w:p>
            <w:r/>
            <w:r>
              <w:rPr>
                <w:sz w:val="15"/>
              </w:rPr>
              <w:t>Purity</w:t>
            </w:r>
          </w:p>
        </w:tc>
        <w:tc>
          <w:tcPr>
            <w:tcW w:type="dxa" w:w="5112"/>
            <w:vAlign w:val="center"/>
          </w:tcPr>
          <w:p>
            <w:r/>
            <w:r>
              <w:rPr>
                <w:sz w:val="15"/>
              </w:rPr>
              <w:t>9K/14K/18K/22K/24K or market-specific values</w:t>
            </w:r>
          </w:p>
        </w:tc>
      </w:tr>
      <w:tr>
        <w:tc>
          <w:tcPr>
            <w:tcW w:type="dxa" w:w="5112"/>
            <w:vAlign w:val="center"/>
            <w:shd w:fill="EEF4F8"/>
          </w:tcPr>
          <w:p>
            <w:r/>
            <w:r>
              <w:rPr>
                <w:sz w:val="15"/>
              </w:rPr>
              <w:t>Gemstone</w:t>
            </w:r>
          </w:p>
        </w:tc>
        <w:tc>
          <w:tcPr>
            <w:tcW w:type="dxa" w:w="5112"/>
            <w:vAlign w:val="center"/>
            <w:shd w:fill="EEF4F8"/>
          </w:tcPr>
          <w:p>
            <w:r/>
            <w:r>
              <w:rPr>
                <w:sz w:val="15"/>
              </w:rPr>
              <w:t>Type, carat, cut, clarity, color, treatment</w:t>
            </w:r>
          </w:p>
        </w:tc>
      </w:tr>
      <w:tr>
        <w:tc>
          <w:tcPr>
            <w:tcW w:type="dxa" w:w="5112"/>
            <w:vAlign w:val="center"/>
          </w:tcPr>
          <w:p>
            <w:r/>
            <w:r>
              <w:rPr>
                <w:sz w:val="15"/>
              </w:rPr>
              <w:t>Dimensions</w:t>
            </w:r>
          </w:p>
        </w:tc>
        <w:tc>
          <w:tcPr>
            <w:tcW w:type="dxa" w:w="5112"/>
            <w:vAlign w:val="center"/>
          </w:tcPr>
          <w:p>
            <w:r/>
            <w:r>
              <w:rPr>
                <w:sz w:val="15"/>
              </w:rPr>
              <w:t>Length, width, height, weight, ring size</w:t>
            </w:r>
          </w:p>
        </w:tc>
      </w:tr>
      <w:tr>
        <w:tc>
          <w:tcPr>
            <w:tcW w:type="dxa" w:w="5112"/>
            <w:vAlign w:val="center"/>
            <w:shd w:fill="EEF4F8"/>
          </w:tcPr>
          <w:p>
            <w:r/>
            <w:r>
              <w:rPr>
                <w:sz w:val="15"/>
              </w:rPr>
              <w:t>Compliance</w:t>
            </w:r>
          </w:p>
        </w:tc>
        <w:tc>
          <w:tcPr>
            <w:tcW w:type="dxa" w:w="5112"/>
            <w:vAlign w:val="center"/>
            <w:shd w:fill="EEF4F8"/>
          </w:tcPr>
          <w:p>
            <w:r/>
            <w:r>
              <w:rPr>
                <w:sz w:val="15"/>
              </w:rPr>
              <w:t>Certification, disclosure, country restrictions</w:t>
            </w:r>
          </w:p>
        </w:tc>
      </w:tr>
    </w:tbl>
    <w:p>
      <w:r>
        <w:t>Attributes should be configurable so new jewellery categories can be introduced without redesigning the entire product database.</w:t>
      </w:r>
    </w:p>
    <w:p>
      <w:pPr>
        <w:pStyle w:val="Heading1"/>
        <w:keepNext/>
      </w:pPr>
      <w:r>
        <w:t>10. Module 07 - Product &amp; Variant Management</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Area</w:t>
            </w:r>
          </w:p>
        </w:tc>
        <w:tc>
          <w:tcPr>
            <w:tcW w:type="dxa" w:w="5112"/>
            <w:shd w:fill="17324D"/>
          </w:tcPr>
          <w:p>
            <w:r/>
            <w:r>
              <w:rPr>
                <w:b/>
                <w:color w:val="FFFFFF"/>
                <w:sz w:val="16"/>
              </w:rPr>
              <w:t>Required Fields</w:t>
            </w:r>
          </w:p>
        </w:tc>
      </w:tr>
      <w:tr>
        <w:tc>
          <w:tcPr>
            <w:tcW w:type="dxa" w:w="5112"/>
            <w:vAlign w:val="center"/>
          </w:tcPr>
          <w:p>
            <w:r/>
            <w:r>
              <w:rPr>
                <w:sz w:val="15"/>
              </w:rPr>
              <w:t>General</w:t>
            </w:r>
          </w:p>
        </w:tc>
        <w:tc>
          <w:tcPr>
            <w:tcW w:type="dxa" w:w="5112"/>
            <w:vAlign w:val="center"/>
          </w:tcPr>
          <w:p>
            <w:r/>
            <w:r>
              <w:rPr>
                <w:sz w:val="15"/>
              </w:rPr>
              <w:t>Product ID, SKU, name, slug, brand, collection, short/long description, status</w:t>
            </w:r>
          </w:p>
        </w:tc>
      </w:tr>
      <w:tr>
        <w:tc>
          <w:tcPr>
            <w:tcW w:type="dxa" w:w="5112"/>
            <w:vAlign w:val="center"/>
            <w:shd w:fill="EEF4F8"/>
          </w:tcPr>
          <w:p>
            <w:r/>
            <w:r>
              <w:rPr>
                <w:sz w:val="15"/>
              </w:rPr>
              <w:t>Jewellery</w:t>
            </w:r>
          </w:p>
        </w:tc>
        <w:tc>
          <w:tcPr>
            <w:tcW w:type="dxa" w:w="5112"/>
            <w:vAlign w:val="center"/>
            <w:shd w:fill="EEF4F8"/>
          </w:tcPr>
          <w:p>
            <w:r/>
            <w:r>
              <w:rPr>
                <w:sz w:val="15"/>
              </w:rPr>
              <w:t>Material, purity, weight, gemstone, carat, size, finish, certification</w:t>
            </w:r>
          </w:p>
        </w:tc>
      </w:tr>
      <w:tr>
        <w:tc>
          <w:tcPr>
            <w:tcW w:type="dxa" w:w="5112"/>
            <w:vAlign w:val="center"/>
          </w:tcPr>
          <w:p>
            <w:r/>
            <w:r>
              <w:rPr>
                <w:sz w:val="15"/>
              </w:rPr>
              <w:t>Media</w:t>
            </w:r>
          </w:p>
        </w:tc>
        <w:tc>
          <w:tcPr>
            <w:tcW w:type="dxa" w:w="5112"/>
            <w:vAlign w:val="center"/>
          </w:tcPr>
          <w:p>
            <w:r/>
            <w:r>
              <w:rPr>
                <w:sz w:val="15"/>
              </w:rPr>
              <w:t>Primary image, gallery, video, certificate documents</w:t>
            </w:r>
          </w:p>
        </w:tc>
      </w:tr>
      <w:tr>
        <w:tc>
          <w:tcPr>
            <w:tcW w:type="dxa" w:w="5112"/>
            <w:vAlign w:val="center"/>
            <w:shd w:fill="EEF4F8"/>
          </w:tcPr>
          <w:p>
            <w:r/>
            <w:r>
              <w:rPr>
                <w:sz w:val="15"/>
              </w:rPr>
              <w:t>Commerce</w:t>
            </w:r>
          </w:p>
        </w:tc>
        <w:tc>
          <w:tcPr>
            <w:tcW w:type="dxa" w:w="5112"/>
            <w:vAlign w:val="center"/>
            <w:shd w:fill="EEF4F8"/>
          </w:tcPr>
          <w:p>
            <w:r/>
            <w:r>
              <w:rPr>
                <w:sz w:val="15"/>
              </w:rPr>
              <w:t>Price, compare-at price, currency, tax category, stock policy</w:t>
            </w:r>
          </w:p>
        </w:tc>
      </w:tr>
      <w:tr>
        <w:tc>
          <w:tcPr>
            <w:tcW w:type="dxa" w:w="5112"/>
            <w:vAlign w:val="center"/>
          </w:tcPr>
          <w:p>
            <w:r/>
            <w:r>
              <w:rPr>
                <w:sz w:val="15"/>
              </w:rPr>
              <w:t>SEO</w:t>
            </w:r>
          </w:p>
        </w:tc>
        <w:tc>
          <w:tcPr>
            <w:tcW w:type="dxa" w:w="5112"/>
            <w:vAlign w:val="center"/>
          </w:tcPr>
          <w:p>
            <w:r/>
            <w:r>
              <w:rPr>
                <w:sz w:val="15"/>
              </w:rPr>
              <w:t>SEO title, description, canonical, structured data inputs</w:t>
            </w:r>
          </w:p>
        </w:tc>
      </w:tr>
      <w:tr>
        <w:tc>
          <w:tcPr>
            <w:tcW w:type="dxa" w:w="5112"/>
            <w:vAlign w:val="center"/>
            <w:shd w:fill="EEF4F8"/>
          </w:tcPr>
          <w:p>
            <w:r/>
            <w:r>
              <w:rPr>
                <w:sz w:val="15"/>
              </w:rPr>
              <w:t>Availability</w:t>
            </w:r>
          </w:p>
        </w:tc>
        <w:tc>
          <w:tcPr>
            <w:tcW w:type="dxa" w:w="5112"/>
            <w:vAlign w:val="center"/>
            <w:shd w:fill="EEF4F8"/>
          </w:tcPr>
          <w:p>
            <w:r/>
            <w:r>
              <w:rPr>
                <w:sz w:val="15"/>
              </w:rPr>
              <w:t>Countries, warehouses, stock status, preorder rules</w:t>
            </w:r>
          </w:p>
        </w:tc>
      </w:tr>
    </w:tbl>
    <w:p>
      <w:pPr>
        <w:pStyle w:val="Heading2"/>
        <w:keepNext/>
      </w:pPr>
      <w:r>
        <w:t>10.1 Variant Rule</w:t>
      </w:r>
    </w:p>
    <w:p>
      <w:r>
        <w:t>Each sellable combination must have its own unique variant/SKU identity. Example: 18K White Gold + Size 7 + 1ct stone = one variant with a dedicated SKU and stock state.</w:t>
      </w:r>
    </w:p>
    <w:p>
      <w:pPr>
        <w:pStyle w:val="Heading1"/>
        <w:keepNext/>
      </w:pPr>
      <w:r>
        <w:t>11. Module 08 - Pricing, Currency, Tax &amp; Promotions</w:t>
      </w:r>
    </w:p>
    <w:p>
      <w:r>
        <w:t>Pricing must be calculated server-side. The frontend must never be trusted to submit the authoritative price.</w:t>
      </w:r>
    </w:p>
    <w:p>
      <w:r>
        <w:t>Suggested calculation chain: Base Price → Market/Currency Price Book → Promotion → Tax → Shipping → Duties Disclosure → Final Total.</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Area</w:t>
            </w:r>
          </w:p>
        </w:tc>
        <w:tc>
          <w:tcPr>
            <w:tcW w:type="dxa" w:w="5112"/>
            <w:shd w:fill="17324D"/>
          </w:tcPr>
          <w:p>
            <w:r/>
            <w:r>
              <w:rPr>
                <w:b/>
                <w:color w:val="FFFFFF"/>
                <w:sz w:val="16"/>
              </w:rPr>
              <w:t>Controls</w:t>
            </w:r>
          </w:p>
        </w:tc>
      </w:tr>
      <w:tr>
        <w:tc>
          <w:tcPr>
            <w:tcW w:type="dxa" w:w="5112"/>
            <w:vAlign w:val="center"/>
          </w:tcPr>
          <w:p>
            <w:r/>
            <w:r>
              <w:rPr>
                <w:sz w:val="15"/>
              </w:rPr>
              <w:t>Currency</w:t>
            </w:r>
          </w:p>
        </w:tc>
        <w:tc>
          <w:tcPr>
            <w:tcW w:type="dxa" w:w="5112"/>
            <w:vAlign w:val="center"/>
          </w:tcPr>
          <w:p>
            <w:r/>
            <w:r>
              <w:rPr>
                <w:sz w:val="15"/>
              </w:rPr>
              <w:t>Supported currencies, currency source of truth, rounding policy</w:t>
            </w:r>
          </w:p>
        </w:tc>
      </w:tr>
      <w:tr>
        <w:tc>
          <w:tcPr>
            <w:tcW w:type="dxa" w:w="5112"/>
            <w:vAlign w:val="center"/>
            <w:shd w:fill="EEF4F8"/>
          </w:tcPr>
          <w:p>
            <w:r/>
            <w:r>
              <w:rPr>
                <w:sz w:val="15"/>
              </w:rPr>
              <w:t>Price books</w:t>
            </w:r>
          </w:p>
        </w:tc>
        <w:tc>
          <w:tcPr>
            <w:tcW w:type="dxa" w:w="5112"/>
            <w:vAlign w:val="center"/>
            <w:shd w:fill="EEF4F8"/>
          </w:tcPr>
          <w:p>
            <w:r/>
            <w:r>
              <w:rPr>
                <w:sz w:val="15"/>
              </w:rPr>
              <w:t>Country/region-specific prices where required</w:t>
            </w:r>
          </w:p>
        </w:tc>
      </w:tr>
      <w:tr>
        <w:tc>
          <w:tcPr>
            <w:tcW w:type="dxa" w:w="5112"/>
            <w:vAlign w:val="center"/>
          </w:tcPr>
          <w:p>
            <w:r/>
            <w:r>
              <w:rPr>
                <w:sz w:val="15"/>
              </w:rPr>
              <w:t>Promotion</w:t>
            </w:r>
          </w:p>
        </w:tc>
        <w:tc>
          <w:tcPr>
            <w:tcW w:type="dxa" w:w="5112"/>
            <w:vAlign w:val="center"/>
          </w:tcPr>
          <w:p>
            <w:r/>
            <w:r>
              <w:rPr>
                <w:sz w:val="15"/>
              </w:rPr>
              <w:t>Date ranges, customer eligibility, product/category rules</w:t>
            </w:r>
          </w:p>
        </w:tc>
      </w:tr>
      <w:tr>
        <w:tc>
          <w:tcPr>
            <w:tcW w:type="dxa" w:w="5112"/>
            <w:vAlign w:val="center"/>
            <w:shd w:fill="EEF4F8"/>
          </w:tcPr>
          <w:p>
            <w:r/>
            <w:r>
              <w:rPr>
                <w:sz w:val="15"/>
              </w:rPr>
              <w:t>Coupons</w:t>
            </w:r>
          </w:p>
        </w:tc>
        <w:tc>
          <w:tcPr>
            <w:tcW w:type="dxa" w:w="5112"/>
            <w:vAlign w:val="center"/>
            <w:shd w:fill="EEF4F8"/>
          </w:tcPr>
          <w:p>
            <w:r/>
            <w:r>
              <w:rPr>
                <w:sz w:val="15"/>
              </w:rPr>
              <w:t>Usage limits, per-customer/device limits, velocity controls</w:t>
            </w:r>
          </w:p>
        </w:tc>
      </w:tr>
      <w:tr>
        <w:tc>
          <w:tcPr>
            <w:tcW w:type="dxa" w:w="5112"/>
            <w:vAlign w:val="center"/>
          </w:tcPr>
          <w:p>
            <w:r/>
            <w:r>
              <w:rPr>
                <w:sz w:val="15"/>
              </w:rPr>
              <w:t>Tax</w:t>
            </w:r>
          </w:p>
        </w:tc>
        <w:tc>
          <w:tcPr>
            <w:tcW w:type="dxa" w:w="5112"/>
            <w:vAlign w:val="center"/>
          </w:tcPr>
          <w:p>
            <w:r/>
            <w:r>
              <w:rPr>
                <w:sz w:val="15"/>
              </w:rPr>
              <w:t>Tax engine/provider or configured rules</w:t>
            </w:r>
          </w:p>
        </w:tc>
      </w:tr>
      <w:tr>
        <w:tc>
          <w:tcPr>
            <w:tcW w:type="dxa" w:w="5112"/>
            <w:vAlign w:val="center"/>
            <w:shd w:fill="EEF4F8"/>
          </w:tcPr>
          <w:p>
            <w:r/>
            <w:r>
              <w:rPr>
                <w:sz w:val="15"/>
              </w:rPr>
              <w:t>Audit</w:t>
            </w:r>
          </w:p>
        </w:tc>
        <w:tc>
          <w:tcPr>
            <w:tcW w:type="dxa" w:w="5112"/>
            <w:vAlign w:val="center"/>
            <w:shd w:fill="EEF4F8"/>
          </w:tcPr>
          <w:p>
            <w:r/>
            <w:r>
              <w:rPr>
                <w:sz w:val="15"/>
              </w:rPr>
              <w:t>All privileged price/promotion changes logged</w:t>
            </w:r>
          </w:p>
        </w:tc>
      </w:tr>
    </w:tbl>
    <w:p>
      <w:pPr>
        <w:pStyle w:val="Heading1"/>
        <w:keepNext/>
      </w:pPr>
      <w:r>
        <w:t>12. Module 09 - Inventory &amp; Stock Management</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Capability</w:t>
            </w:r>
          </w:p>
        </w:tc>
        <w:tc>
          <w:tcPr>
            <w:tcW w:type="dxa" w:w="5112"/>
            <w:shd w:fill="17324D"/>
          </w:tcPr>
          <w:p>
            <w:r/>
            <w:r>
              <w:rPr>
                <w:b/>
                <w:color w:val="FFFFFF"/>
                <w:sz w:val="16"/>
              </w:rPr>
              <w:t>Requirement</w:t>
            </w:r>
          </w:p>
        </w:tc>
      </w:tr>
      <w:tr>
        <w:tc>
          <w:tcPr>
            <w:tcW w:type="dxa" w:w="5112"/>
            <w:vAlign w:val="center"/>
          </w:tcPr>
          <w:p>
            <w:r/>
            <w:r>
              <w:rPr>
                <w:sz w:val="15"/>
              </w:rPr>
              <w:t>On hand</w:t>
            </w:r>
          </w:p>
        </w:tc>
        <w:tc>
          <w:tcPr>
            <w:tcW w:type="dxa" w:w="5112"/>
            <w:vAlign w:val="center"/>
          </w:tcPr>
          <w:p>
            <w:r/>
            <w:r>
              <w:rPr>
                <w:sz w:val="15"/>
              </w:rPr>
              <w:t>Current physical/available stock</w:t>
            </w:r>
          </w:p>
        </w:tc>
      </w:tr>
      <w:tr>
        <w:tc>
          <w:tcPr>
            <w:tcW w:type="dxa" w:w="5112"/>
            <w:vAlign w:val="center"/>
            <w:shd w:fill="EEF4F8"/>
          </w:tcPr>
          <w:p>
            <w:r/>
            <w:r>
              <w:rPr>
                <w:sz w:val="15"/>
              </w:rPr>
              <w:t>Reserved</w:t>
            </w:r>
          </w:p>
        </w:tc>
        <w:tc>
          <w:tcPr>
            <w:tcW w:type="dxa" w:w="5112"/>
            <w:vAlign w:val="center"/>
            <w:shd w:fill="EEF4F8"/>
          </w:tcPr>
          <w:p>
            <w:r/>
            <w:r>
              <w:rPr>
                <w:sz w:val="15"/>
              </w:rPr>
              <w:t>Short-lived reservation during checkout</w:t>
            </w:r>
          </w:p>
        </w:tc>
      </w:tr>
      <w:tr>
        <w:tc>
          <w:tcPr>
            <w:tcW w:type="dxa" w:w="5112"/>
            <w:vAlign w:val="center"/>
          </w:tcPr>
          <w:p>
            <w:r/>
            <w:r>
              <w:rPr>
                <w:sz w:val="15"/>
              </w:rPr>
              <w:t>Available</w:t>
            </w:r>
          </w:p>
        </w:tc>
        <w:tc>
          <w:tcPr>
            <w:tcW w:type="dxa" w:w="5112"/>
            <w:vAlign w:val="center"/>
          </w:tcPr>
          <w:p>
            <w:r/>
            <w:r>
              <w:rPr>
                <w:sz w:val="15"/>
              </w:rPr>
              <w:t>On hand minus reservations and other committed stock</w:t>
            </w:r>
          </w:p>
        </w:tc>
      </w:tr>
      <w:tr>
        <w:tc>
          <w:tcPr>
            <w:tcW w:type="dxa" w:w="5112"/>
            <w:vAlign w:val="center"/>
            <w:shd w:fill="EEF4F8"/>
          </w:tcPr>
          <w:p>
            <w:r/>
            <w:r>
              <w:rPr>
                <w:sz w:val="15"/>
              </w:rPr>
              <w:t>Adjustments</w:t>
            </w:r>
          </w:p>
        </w:tc>
        <w:tc>
          <w:tcPr>
            <w:tcW w:type="dxa" w:w="5112"/>
            <w:vAlign w:val="center"/>
            <w:shd w:fill="EEF4F8"/>
          </w:tcPr>
          <w:p>
            <w:r/>
            <w:r>
              <w:rPr>
                <w:sz w:val="15"/>
              </w:rPr>
              <w:t>Reason, actor, timestamp, before/after quantity</w:t>
            </w:r>
          </w:p>
        </w:tc>
      </w:tr>
      <w:tr>
        <w:tc>
          <w:tcPr>
            <w:tcW w:type="dxa" w:w="5112"/>
            <w:vAlign w:val="center"/>
          </w:tcPr>
          <w:p>
            <w:r/>
            <w:r>
              <w:rPr>
                <w:sz w:val="15"/>
              </w:rPr>
              <w:t>Concurrency</w:t>
            </w:r>
          </w:p>
        </w:tc>
        <w:tc>
          <w:tcPr>
            <w:tcW w:type="dxa" w:w="5112"/>
            <w:vAlign w:val="center"/>
          </w:tcPr>
          <w:p>
            <w:r/>
            <w:r>
              <w:rPr>
                <w:sz w:val="15"/>
              </w:rPr>
              <w:t>Transactional controls to avoid overselling</w:t>
            </w:r>
          </w:p>
        </w:tc>
      </w:tr>
      <w:tr>
        <w:tc>
          <w:tcPr>
            <w:tcW w:type="dxa" w:w="5112"/>
            <w:vAlign w:val="center"/>
            <w:shd w:fill="EEF4F8"/>
          </w:tcPr>
          <w:p>
            <w:r/>
            <w:r>
              <w:rPr>
                <w:sz w:val="15"/>
              </w:rPr>
              <w:t>Alerts</w:t>
            </w:r>
          </w:p>
        </w:tc>
        <w:tc>
          <w:tcPr>
            <w:tcW w:type="dxa" w:w="5112"/>
            <w:vAlign w:val="center"/>
            <w:shd w:fill="EEF4F8"/>
          </w:tcPr>
          <w:p>
            <w:r/>
            <w:r>
              <w:rPr>
                <w:sz w:val="15"/>
              </w:rPr>
              <w:t>Low stock, stockout, negative stock attempt, reservation expiry</w:t>
            </w:r>
          </w:p>
        </w:tc>
      </w:tr>
    </w:tbl>
    <w:p>
      <w:pPr>
        <w:pStyle w:val="Heading2"/>
        <w:keepNext/>
      </w:pPr>
      <w:r>
        <w:t>12.1 Concurrency Control</w:t>
      </w:r>
    </w:p>
    <w:p>
      <w:r>
        <w:t>Use database transactions, appropriate row locking or optimistic concurrency, and short-lived reservations. Two simultaneous buyers must not both succeed in purchasing the final unit unless the business intentionally supports backorders.</w:t>
      </w:r>
    </w:p>
    <w:p>
      <w:pPr>
        <w:pStyle w:val="Heading1"/>
        <w:keepNext/>
      </w:pPr>
      <w:r>
        <w:t>13. Module 10 - Customer Management</w:t>
      </w:r>
    </w:p>
    <w:p>
      <w:pPr>
        <w:pStyle w:val="ListBullet"/>
        <w:spacing w:after="40"/>
      </w:pPr>
      <w:r>
        <w:t>Customer search, profile, account status, order history, addresses, support notes and security-related information where lawful and necessary.</w:t>
      </w:r>
    </w:p>
    <w:p>
      <w:r>
        <w:t>Use role-based PII masking and strictly control exports. Support users should see only the data required to solve customer issues.</w:t>
      </w:r>
    </w:p>
    <w:p>
      <w:pPr>
        <w:pStyle w:val="Heading1"/>
        <w:keepNext/>
      </w:pPr>
      <w:r>
        <w:t>14. Module 11 - Storefront Foundation</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Foundation</w:t>
            </w:r>
          </w:p>
        </w:tc>
        <w:tc>
          <w:tcPr>
            <w:tcW w:type="dxa" w:w="5112"/>
            <w:shd w:fill="17324D"/>
          </w:tcPr>
          <w:p>
            <w:r/>
            <w:r>
              <w:rPr>
                <w:b/>
                <w:color w:val="FFFFFF"/>
                <w:sz w:val="16"/>
              </w:rPr>
              <w:t>Requirements</w:t>
            </w:r>
          </w:p>
        </w:tc>
      </w:tr>
      <w:tr>
        <w:tc>
          <w:tcPr>
            <w:tcW w:type="dxa" w:w="5112"/>
            <w:vAlign w:val="center"/>
          </w:tcPr>
          <w:p>
            <w:r/>
            <w:r>
              <w:rPr>
                <w:sz w:val="15"/>
              </w:rPr>
              <w:t>Header</w:t>
            </w:r>
          </w:p>
        </w:tc>
        <w:tc>
          <w:tcPr>
            <w:tcW w:type="dxa" w:w="5112"/>
            <w:vAlign w:val="center"/>
          </w:tcPr>
          <w:p>
            <w:r/>
            <w:r>
              <w:rPr>
                <w:sz w:val="15"/>
              </w:rPr>
              <w:t>Logo, navigation, search, account, wishlist, cart, country/language/currency</w:t>
            </w:r>
          </w:p>
        </w:tc>
      </w:tr>
      <w:tr>
        <w:tc>
          <w:tcPr>
            <w:tcW w:type="dxa" w:w="5112"/>
            <w:vAlign w:val="center"/>
            <w:shd w:fill="EEF4F8"/>
          </w:tcPr>
          <w:p>
            <w:r/>
            <w:r>
              <w:rPr>
                <w:sz w:val="15"/>
              </w:rPr>
              <w:t>Footer</w:t>
            </w:r>
          </w:p>
        </w:tc>
        <w:tc>
          <w:tcPr>
            <w:tcW w:type="dxa" w:w="5112"/>
            <w:vAlign w:val="center"/>
            <w:shd w:fill="EEF4F8"/>
          </w:tcPr>
          <w:p>
            <w:r/>
            <w:r>
              <w:rPr>
                <w:sz w:val="15"/>
              </w:rPr>
              <w:t>Policies, support, newsletter, social links if approved</w:t>
            </w:r>
          </w:p>
        </w:tc>
      </w:tr>
      <w:tr>
        <w:tc>
          <w:tcPr>
            <w:tcW w:type="dxa" w:w="5112"/>
            <w:vAlign w:val="center"/>
          </w:tcPr>
          <w:p>
            <w:r/>
            <w:r>
              <w:rPr>
                <w:sz w:val="15"/>
              </w:rPr>
              <w:t>Global UX</w:t>
            </w:r>
          </w:p>
        </w:tc>
        <w:tc>
          <w:tcPr>
            <w:tcW w:type="dxa" w:w="5112"/>
            <w:vAlign w:val="center"/>
          </w:tcPr>
          <w:p>
            <w:r/>
            <w:r>
              <w:rPr>
                <w:sz w:val="15"/>
              </w:rPr>
              <w:t>Loading, error, empty, confirmation states</w:t>
            </w:r>
          </w:p>
        </w:tc>
      </w:tr>
      <w:tr>
        <w:tc>
          <w:tcPr>
            <w:tcW w:type="dxa" w:w="5112"/>
            <w:vAlign w:val="center"/>
            <w:shd w:fill="EEF4F8"/>
          </w:tcPr>
          <w:p>
            <w:r/>
            <w:r>
              <w:rPr>
                <w:sz w:val="15"/>
              </w:rPr>
              <w:t>Consent</w:t>
            </w:r>
          </w:p>
        </w:tc>
        <w:tc>
          <w:tcPr>
            <w:tcW w:type="dxa" w:w="5112"/>
            <w:vAlign w:val="center"/>
            <w:shd w:fill="EEF4F8"/>
          </w:tcPr>
          <w:p>
            <w:r/>
            <w:r>
              <w:rPr>
                <w:sz w:val="15"/>
              </w:rPr>
              <w:t>Cookie/analytics consent where required</w:t>
            </w:r>
          </w:p>
        </w:tc>
      </w:tr>
      <w:tr>
        <w:tc>
          <w:tcPr>
            <w:tcW w:type="dxa" w:w="5112"/>
            <w:vAlign w:val="center"/>
          </w:tcPr>
          <w:p>
            <w:r/>
            <w:r>
              <w:rPr>
                <w:sz w:val="15"/>
              </w:rPr>
              <w:t>Accessibility</w:t>
            </w:r>
          </w:p>
        </w:tc>
        <w:tc>
          <w:tcPr>
            <w:tcW w:type="dxa" w:w="5112"/>
            <w:vAlign w:val="center"/>
          </w:tcPr>
          <w:p>
            <w:r/>
            <w:r>
              <w:rPr>
                <w:sz w:val="15"/>
              </w:rPr>
              <w:t>Semantic HTML, focus management, keyboard navigation, WCAG 2.2 AA baseline</w:t>
            </w:r>
          </w:p>
        </w:tc>
      </w:tr>
      <w:tr>
        <w:tc>
          <w:tcPr>
            <w:tcW w:type="dxa" w:w="5112"/>
            <w:vAlign w:val="center"/>
            <w:shd w:fill="EEF4F8"/>
          </w:tcPr>
          <w:p>
            <w:r/>
            <w:r>
              <w:rPr>
                <w:sz w:val="15"/>
              </w:rPr>
              <w:t>Performance</w:t>
            </w:r>
          </w:p>
        </w:tc>
        <w:tc>
          <w:tcPr>
            <w:tcW w:type="dxa" w:w="5112"/>
            <w:vAlign w:val="center"/>
            <w:shd w:fill="EEF4F8"/>
          </w:tcPr>
          <w:p>
            <w:r/>
            <w:r>
              <w:rPr>
                <w:sz w:val="15"/>
              </w:rPr>
              <w:t>SSR/streaming/caching, image optimization, critical CSS strategy</w:t>
            </w:r>
          </w:p>
        </w:tc>
      </w:tr>
    </w:tbl>
    <w:p>
      <w:pPr>
        <w:pStyle w:val="Heading1"/>
        <w:keepNext/>
      </w:pPr>
      <w:r>
        <w:t>15. Module 12 - Home, Category &amp; Search</w:t>
      </w:r>
    </w:p>
    <w:p>
      <w:pPr>
        <w:pStyle w:val="ListBullet"/>
        <w:spacing w:after="40"/>
      </w:pPr>
      <w:r>
        <w:t>Home: hero, featured collections, new arrivals, best sellers, categories, brand story, craftsmanship, editorial, testimonials and newsletter.</w:t>
      </w:r>
    </w:p>
    <w:p>
      <w:pPr>
        <w:pStyle w:val="ListBullet"/>
        <w:spacing w:after="40"/>
      </w:pPr>
      <w:r>
        <w:t>Category/listing: filters, sort, grid, pagination, no-result recovery.</w:t>
      </w:r>
    </w:p>
    <w:p>
      <w:pPr>
        <w:pStyle w:val="ListBullet"/>
        <w:spacing w:after="40"/>
      </w:pPr>
      <w:r>
        <w:t>Search: autocomplete, synonyms, facets, safe query lengths and pagination.</w:t>
      </w:r>
    </w:p>
    <w:p>
      <w:pPr>
        <w:pStyle w:val="Heading2"/>
        <w:keepNext/>
      </w:pPr>
      <w:r>
        <w:t>15.1 Search Security</w:t>
      </w:r>
    </w:p>
    <w:p>
      <w:pPr>
        <w:pStyle w:val="ListBullet"/>
        <w:spacing w:after="40"/>
      </w:pPr>
      <w:r>
        <w:t>Rate limit expensive searches, cap pagination, cache safe public requests, prevent unbounded wildcard queries, monitor abusive search patterns and move to a dedicated search engine when catalog size/complexity requires it.</w:t>
      </w:r>
    </w:p>
    <w:p>
      <w:pPr>
        <w:pStyle w:val="Heading1"/>
        <w:keepNext/>
      </w:pPr>
      <w:r>
        <w:t>16. Module 13 - Product Detail, Wishlist &amp; Compare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Section</w:t>
            </w:r>
          </w:p>
        </w:tc>
        <w:tc>
          <w:tcPr>
            <w:tcW w:type="dxa" w:w="5112"/>
            <w:shd w:fill="17324D"/>
          </w:tcPr>
          <w:p>
            <w:r/>
            <w:r>
              <w:rPr>
                <w:b/>
                <w:color w:val="FFFFFF"/>
                <w:sz w:val="16"/>
              </w:rPr>
              <w:t>Requirements</w:t>
            </w:r>
          </w:p>
        </w:tc>
      </w:tr>
      <w:tr>
        <w:tc>
          <w:tcPr>
            <w:tcW w:type="dxa" w:w="5112"/>
            <w:vAlign w:val="center"/>
          </w:tcPr>
          <w:p>
            <w:r/>
            <w:r>
              <w:rPr>
                <w:sz w:val="15"/>
              </w:rPr>
              <w:t>Gallery</w:t>
            </w:r>
          </w:p>
        </w:tc>
        <w:tc>
          <w:tcPr>
            <w:tcW w:type="dxa" w:w="5112"/>
            <w:vAlign w:val="center"/>
          </w:tcPr>
          <w:p>
            <w:r/>
            <w:r>
              <w:rPr>
                <w:sz w:val="15"/>
              </w:rPr>
              <w:t>Zoom, responsive images, keyboard/touch controls, alt text</w:t>
            </w:r>
          </w:p>
        </w:tc>
      </w:tr>
      <w:tr>
        <w:tc>
          <w:tcPr>
            <w:tcW w:type="dxa" w:w="5112"/>
            <w:vAlign w:val="center"/>
            <w:shd w:fill="EEF4F8"/>
          </w:tcPr>
          <w:p>
            <w:r/>
            <w:r>
              <w:rPr>
                <w:sz w:val="15"/>
              </w:rPr>
              <w:t>Product info</w:t>
            </w:r>
          </w:p>
        </w:tc>
        <w:tc>
          <w:tcPr>
            <w:tcW w:type="dxa" w:w="5112"/>
            <w:vAlign w:val="center"/>
            <w:shd w:fill="EEF4F8"/>
          </w:tcPr>
          <w:p>
            <w:r/>
            <w:r>
              <w:rPr>
                <w:sz w:val="15"/>
              </w:rPr>
              <w:t>Name, rating, price, selected variant, stock, shipping/returns</w:t>
            </w:r>
          </w:p>
        </w:tc>
      </w:tr>
      <w:tr>
        <w:tc>
          <w:tcPr>
            <w:tcW w:type="dxa" w:w="5112"/>
            <w:vAlign w:val="center"/>
          </w:tcPr>
          <w:p>
            <w:r/>
            <w:r>
              <w:rPr>
                <w:sz w:val="15"/>
              </w:rPr>
              <w:t>Jewellery detail</w:t>
            </w:r>
          </w:p>
        </w:tc>
        <w:tc>
          <w:tcPr>
            <w:tcW w:type="dxa" w:w="5112"/>
            <w:vAlign w:val="center"/>
          </w:tcPr>
          <w:p>
            <w:r/>
            <w:r>
              <w:rPr>
                <w:sz w:val="15"/>
              </w:rPr>
              <w:t>Material, purity, gemstone, dimensions, care, certification</w:t>
            </w:r>
          </w:p>
        </w:tc>
      </w:tr>
      <w:tr>
        <w:tc>
          <w:tcPr>
            <w:tcW w:type="dxa" w:w="5112"/>
            <w:vAlign w:val="center"/>
            <w:shd w:fill="EEF4F8"/>
          </w:tcPr>
          <w:p>
            <w:r/>
            <w:r>
              <w:rPr>
                <w:sz w:val="15"/>
              </w:rPr>
              <w:t>Purchase</w:t>
            </w:r>
          </w:p>
        </w:tc>
        <w:tc>
          <w:tcPr>
            <w:tcW w:type="dxa" w:w="5112"/>
            <w:vAlign w:val="center"/>
            <w:shd w:fill="EEF4F8"/>
          </w:tcPr>
          <w:p>
            <w:r/>
            <w:r>
              <w:rPr>
                <w:sz w:val="15"/>
              </w:rPr>
              <w:t>Add to cart, Buy Now, quantity, wishlist</w:t>
            </w:r>
          </w:p>
        </w:tc>
      </w:tr>
      <w:tr>
        <w:tc>
          <w:tcPr>
            <w:tcW w:type="dxa" w:w="5112"/>
            <w:vAlign w:val="center"/>
          </w:tcPr>
          <w:p>
            <w:r/>
            <w:r>
              <w:rPr>
                <w:sz w:val="15"/>
              </w:rPr>
              <w:t>Trust</w:t>
            </w:r>
          </w:p>
        </w:tc>
        <w:tc>
          <w:tcPr>
            <w:tcW w:type="dxa" w:w="5112"/>
            <w:vAlign w:val="center"/>
          </w:tcPr>
          <w:p>
            <w:r/>
            <w:r>
              <w:rPr>
                <w:sz w:val="15"/>
              </w:rPr>
              <w:t>Authentication/certification, secure payment indicators, policies</w:t>
            </w:r>
          </w:p>
        </w:tc>
      </w:tr>
      <w:tr>
        <w:tc>
          <w:tcPr>
            <w:tcW w:type="dxa" w:w="5112"/>
            <w:vAlign w:val="center"/>
            <w:shd w:fill="EEF4F8"/>
          </w:tcPr>
          <w:p>
            <w:r/>
            <w:r>
              <w:rPr>
                <w:sz w:val="15"/>
              </w:rPr>
              <w:t>Wishlist</w:t>
            </w:r>
          </w:p>
        </w:tc>
        <w:tc>
          <w:tcPr>
            <w:tcW w:type="dxa" w:w="5112"/>
            <w:vAlign w:val="center"/>
            <w:shd w:fill="EEF4F8"/>
          </w:tcPr>
          <w:p>
            <w:r/>
            <w:r>
              <w:rPr>
                <w:sz w:val="15"/>
              </w:rPr>
              <w:t>Guest/auth handling, sync, remove, move to cart</w:t>
            </w:r>
          </w:p>
        </w:tc>
      </w:tr>
      <w:tr>
        <w:tc>
          <w:tcPr>
            <w:tcW w:type="dxa" w:w="5112"/>
            <w:vAlign w:val="center"/>
          </w:tcPr>
          <w:p>
            <w:r/>
            <w:r>
              <w:rPr>
                <w:sz w:val="15"/>
              </w:rPr>
              <w:t>Compare</w:t>
            </w:r>
          </w:p>
        </w:tc>
        <w:tc>
          <w:tcPr>
            <w:tcW w:type="dxa" w:w="5112"/>
            <w:vAlign w:val="center"/>
          </w:tcPr>
          <w:p>
            <w:r/>
            <w:r>
              <w:rPr>
                <w:sz w:val="15"/>
              </w:rPr>
              <w:t>Comparable attributes only; prevent data explosion</w:t>
            </w:r>
          </w:p>
        </w:tc>
      </w:tr>
    </w:tbl>
    <w:p>
      <w:pPr>
        <w:pStyle w:val="Heading1"/>
        <w:keepNext/>
      </w:pPr>
      <w:r>
        <w:t>17. Module 14 - Cart</w:t>
      </w:r>
    </w:p>
    <w:p>
      <w:pPr>
        <w:pStyle w:val="ListBullet"/>
        <w:spacing w:after="40"/>
      </w:pPr>
      <w:r>
        <w:t>Server-authoritative price/discount/tax data, stock revalidation, quantity limits, cart expiry, safe guest cart identifiers, persistent authenticated cart, promotion validation and recoverable errors.</w:t>
      </w:r>
    </w:p>
    <w:p>
      <w:r>
        <w:t>Never accept a browser-submitted “trusted” price. The backend must recalculate all monetary values from product/variant, price book, promotion and market rules.</w:t>
      </w:r>
    </w:p>
    <w:p>
      <w:pPr>
        <w:pStyle w:val="Heading1"/>
        <w:keepNext/>
      </w:pPr>
      <w:r>
        <w:t>18. Module 15 - Checkout, Shipping &amp; Tax</w:t>
      </w:r>
    </w:p>
    <w:p>
      <w:pPr>
        <w:pStyle w:val="Heading2"/>
        <w:keepNext/>
      </w:pPr>
      <w:r>
        <w:t>18.1 Checkout Steps</w:t>
      </w:r>
    </w:p>
    <w:p>
      <w:pPr>
        <w:pStyle w:val="ListNumber"/>
        <w:spacing w:after="40"/>
      </w:pPr>
      <w:r>
        <w:t>Identity / guest or account</w:t>
      </w:r>
    </w:p>
    <w:p>
      <w:pPr>
        <w:pStyle w:val="ListNumber"/>
        <w:spacing w:after="40"/>
      </w:pPr>
      <w:r>
        <w:t>Shipping address</w:t>
      </w:r>
    </w:p>
    <w:p>
      <w:pPr>
        <w:pStyle w:val="ListNumber"/>
        <w:spacing w:after="40"/>
      </w:pPr>
      <w:r>
        <w:t>Shipping method</w:t>
      </w:r>
    </w:p>
    <w:p>
      <w:pPr>
        <w:pStyle w:val="ListNumber"/>
        <w:spacing w:after="40"/>
      </w:pPr>
      <w:r>
        <w:t>Tax/duties display</w:t>
      </w:r>
    </w:p>
    <w:p>
      <w:pPr>
        <w:pStyle w:val="ListNumber"/>
        <w:spacing w:after="40"/>
      </w:pPr>
      <w:r>
        <w:t>Final order review</w:t>
      </w:r>
    </w:p>
    <w:p>
      <w:pPr>
        <w:pStyle w:val="ListNumber"/>
        <w:spacing w:after="40"/>
      </w:pPr>
      <w:r>
        <w:t>Payment</w:t>
      </w:r>
    </w:p>
    <w:p>
      <w:pPr>
        <w:pStyle w:val="ListNumber"/>
        <w:spacing w:after="40"/>
      </w:pPr>
      <w:r>
        <w:t>Confirmation</w:t>
      </w:r>
    </w:p>
    <w:p>
      <w:pPr>
        <w:pStyle w:val="Heading2"/>
        <w:keepNext/>
      </w:pPr>
      <w:r>
        <w:t>18.2 Security</w:t>
      </w:r>
    </w:p>
    <w:p>
      <w:pPr>
        <w:pStyle w:val="ListBullet"/>
        <w:spacing w:after="40"/>
      </w:pPr>
      <w:r>
        <w:t>Server-side total recalculation, idempotency keys, address validation, payment session binding, anti-bot controls, step-up/risk checks where appropriate, request size limits and timeouts.</w:t>
      </w:r>
    </w:p>
    <w:p>
      <w:pPr>
        <w:pStyle w:val="Heading1"/>
        <w:keepNext/>
      </w:pPr>
      <w:r>
        <w:t>19. Module 16 - Payment &amp; Fraud Protection</w:t>
      </w:r>
    </w:p>
    <w:p>
      <w:r>
        <w:t>Use a PCI-aligned hosted/tokenized payment architecture so the application does not unnecessarily handle raw payment-card data.</w:t>
      </w:r>
    </w:p>
    <w:p>
      <w:r>
        <w:t>Flow: Storefront → Checkout API → Payment Service → PSP → Verified Webhook → Payment State → Order State.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Risk</w:t>
            </w:r>
          </w:p>
        </w:tc>
        <w:tc>
          <w:tcPr>
            <w:tcW w:type="dxa" w:w="5112"/>
            <w:shd w:fill="17324D"/>
          </w:tcPr>
          <w:p>
            <w:r/>
            <w:r>
              <w:rPr>
                <w:b/>
                <w:color w:val="FFFFFF"/>
                <w:sz w:val="16"/>
              </w:rPr>
              <w:t>Controls</w:t>
            </w:r>
          </w:p>
        </w:tc>
      </w:tr>
      <w:tr>
        <w:tc>
          <w:tcPr>
            <w:tcW w:type="dxa" w:w="5112"/>
            <w:vAlign w:val="center"/>
          </w:tcPr>
          <w:p>
            <w:r/>
            <w:r>
              <w:rPr>
                <w:sz w:val="15"/>
              </w:rPr>
              <w:t>Payment replay</w:t>
            </w:r>
          </w:p>
        </w:tc>
        <w:tc>
          <w:tcPr>
            <w:tcW w:type="dxa" w:w="5112"/>
            <w:vAlign w:val="center"/>
          </w:tcPr>
          <w:p>
            <w:r/>
            <w:r>
              <w:rPr>
                <w:sz w:val="15"/>
              </w:rPr>
              <w:t>Idempotency + provider reference uniqueness</w:t>
            </w:r>
          </w:p>
        </w:tc>
      </w:tr>
      <w:tr>
        <w:tc>
          <w:tcPr>
            <w:tcW w:type="dxa" w:w="5112"/>
            <w:vAlign w:val="center"/>
            <w:shd w:fill="EEF4F8"/>
          </w:tcPr>
          <w:p>
            <w:r/>
            <w:r>
              <w:rPr>
                <w:sz w:val="15"/>
              </w:rPr>
              <w:t>Forged success</w:t>
            </w:r>
          </w:p>
        </w:tc>
        <w:tc>
          <w:tcPr>
            <w:tcW w:type="dxa" w:w="5112"/>
            <w:vAlign w:val="center"/>
            <w:shd w:fill="EEF4F8"/>
          </w:tcPr>
          <w:p>
            <w:r/>
            <w:r>
              <w:rPr>
                <w:sz w:val="15"/>
              </w:rPr>
              <w:t>Never trust client-side success; verify PSP server-side/webhook</w:t>
            </w:r>
          </w:p>
        </w:tc>
      </w:tr>
      <w:tr>
        <w:tc>
          <w:tcPr>
            <w:tcW w:type="dxa" w:w="5112"/>
            <w:vAlign w:val="center"/>
          </w:tcPr>
          <w:p>
            <w:r/>
            <w:r>
              <w:rPr>
                <w:sz w:val="15"/>
              </w:rPr>
              <w:t>Webhook replay</w:t>
            </w:r>
          </w:p>
        </w:tc>
        <w:tc>
          <w:tcPr>
            <w:tcW w:type="dxa" w:w="5112"/>
            <w:vAlign w:val="center"/>
          </w:tcPr>
          <w:p>
            <w:r/>
            <w:r>
              <w:rPr>
                <w:sz w:val="15"/>
              </w:rPr>
              <w:t>Signature + timestamp/replay + event ID</w:t>
            </w:r>
          </w:p>
        </w:tc>
      </w:tr>
      <w:tr>
        <w:tc>
          <w:tcPr>
            <w:tcW w:type="dxa" w:w="5112"/>
            <w:vAlign w:val="center"/>
            <w:shd w:fill="EEF4F8"/>
          </w:tcPr>
          <w:p>
            <w:r/>
            <w:r>
              <w:rPr>
                <w:sz w:val="15"/>
              </w:rPr>
              <w:t>Fraud</w:t>
            </w:r>
          </w:p>
        </w:tc>
        <w:tc>
          <w:tcPr>
            <w:tcW w:type="dxa" w:w="5112"/>
            <w:vAlign w:val="center"/>
            <w:shd w:fill="EEF4F8"/>
          </w:tcPr>
          <w:p>
            <w:r/>
            <w:r>
              <w:rPr>
                <w:sz w:val="15"/>
              </w:rPr>
              <w:t>PSP risk tools, velocity, device/IP signals, market mismatch, review queue</w:t>
            </w:r>
          </w:p>
        </w:tc>
      </w:tr>
      <w:tr>
        <w:tc>
          <w:tcPr>
            <w:tcW w:type="dxa" w:w="5112"/>
            <w:vAlign w:val="center"/>
          </w:tcPr>
          <w:p>
            <w:r/>
            <w:r>
              <w:rPr>
                <w:sz w:val="15"/>
              </w:rPr>
              <w:t>Refund abuse</w:t>
            </w:r>
          </w:p>
        </w:tc>
        <w:tc>
          <w:tcPr>
            <w:tcW w:type="dxa" w:w="5112"/>
            <w:vAlign w:val="center"/>
          </w:tcPr>
          <w:p>
            <w:r/>
            <w:r>
              <w:rPr>
                <w:sz w:val="15"/>
              </w:rPr>
              <w:t>Approval thresholds, dual approval for large refunds, audit</w:t>
            </w:r>
          </w:p>
        </w:tc>
      </w:tr>
      <w:tr>
        <w:tc>
          <w:tcPr>
            <w:tcW w:type="dxa" w:w="5112"/>
            <w:vAlign w:val="center"/>
            <w:shd w:fill="EEF4F8"/>
          </w:tcPr>
          <w:p>
            <w:r/>
            <w:r>
              <w:rPr>
                <w:sz w:val="15"/>
              </w:rPr>
              <w:t>Reconciliation</w:t>
            </w:r>
          </w:p>
        </w:tc>
        <w:tc>
          <w:tcPr>
            <w:tcW w:type="dxa" w:w="5112"/>
            <w:vAlign w:val="center"/>
            <w:shd w:fill="EEF4F8"/>
          </w:tcPr>
          <w:p>
            <w:r/>
            <w:r>
              <w:rPr>
                <w:sz w:val="15"/>
              </w:rPr>
              <w:t>Scheduled order-vs-PSP reconciliation</w:t>
            </w:r>
          </w:p>
        </w:tc>
      </w:tr>
    </w:tbl>
    <w:p>
      <w:pPr>
        <w:pStyle w:val="Heading1"/>
        <w:keepNext/>
      </w:pPr>
      <w:r>
        <w:t>20. Module 17 - Orders, Fulfillment &amp; Tracking</w:t>
      </w:r>
    </w:p>
    <w:p>
      <w:r>
        <w:t>Suggested order lifecycle: Pending Payment → Paid → Processing → Packed → Shipped → Delivered, with controlled branches for Cancelled, Return Requested, Returned and Refunded.</w:t>
      </w:r>
    </w:p>
    <w:p>
      <w:pPr>
        <w:pStyle w:val="ListBullet"/>
        <w:spacing w:after="40"/>
      </w:pPr>
      <w:r>
        <w:t>Use an explicit state machine; reject invalid transitions; snapshot commercial values at order time; protect shipment webhooks; record operator actions.</w:t>
      </w:r>
    </w:p>
    <w:p>
      <w:pPr>
        <w:pStyle w:val="Heading1"/>
        <w:keepNext/>
      </w:pPr>
      <w:r>
        <w:t>21. Module 18 - Returns, Refunds &amp; Support</w:t>
      </w:r>
    </w:p>
    <w:p>
      <w:r>
        <w:t>Return flow: Request → Eligibility → Approval/Reject → Return Shipment → Inspection → Refund Approval → PSP Refund → Completed.</w:t>
      </w:r>
    </w:p>
    <w:p>
      <w:pPr>
        <w:pStyle w:val="ListBullet"/>
        <w:spacing w:after="40"/>
      </w:pPr>
      <w:r>
        <w:t>Separate customer-visible notes from internal notes.</w:t>
      </w:r>
    </w:p>
    <w:p>
      <w:pPr>
        <w:pStyle w:val="ListBullet"/>
        <w:spacing w:after="40"/>
      </w:pPr>
      <w:r>
        <w:t>Use role-based refund permission and financial approval thresholds.</w:t>
      </w:r>
    </w:p>
    <w:p>
      <w:pPr>
        <w:pStyle w:val="ListBullet"/>
        <w:spacing w:after="40"/>
      </w:pPr>
      <w:r>
        <w:t>Audit every refund and manual adjustment.</w:t>
      </w:r>
    </w:p>
    <w:p>
      <w:pPr>
        <w:pStyle w:val="Heading1"/>
        <w:keepNext/>
      </w:pPr>
      <w:r>
        <w:t>22. Module 19 - Internationalization &amp; Market Rules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Capability</w:t>
            </w:r>
          </w:p>
        </w:tc>
        <w:tc>
          <w:tcPr>
            <w:tcW w:type="dxa" w:w="5112"/>
            <w:shd w:fill="17324D"/>
          </w:tcPr>
          <w:p>
            <w:r/>
            <w:r>
              <w:rPr>
                <w:b/>
                <w:color w:val="FFFFFF"/>
                <w:sz w:val="16"/>
              </w:rPr>
              <w:t>Requirement</w:t>
            </w:r>
          </w:p>
        </w:tc>
      </w:tr>
      <w:tr>
        <w:tc>
          <w:tcPr>
            <w:tcW w:type="dxa" w:w="5112"/>
            <w:vAlign w:val="center"/>
          </w:tcPr>
          <w:p>
            <w:r/>
            <w:r>
              <w:rPr>
                <w:sz w:val="15"/>
              </w:rPr>
              <w:t>Language</w:t>
            </w:r>
          </w:p>
        </w:tc>
        <w:tc>
          <w:tcPr>
            <w:tcW w:type="dxa" w:w="5112"/>
            <w:vAlign w:val="center"/>
          </w:tcPr>
          <w:p>
            <w:r/>
            <w:r>
              <w:rPr>
                <w:sz w:val="15"/>
              </w:rPr>
              <w:t>Translation-ready UI and content</w:t>
            </w:r>
          </w:p>
        </w:tc>
      </w:tr>
      <w:tr>
        <w:tc>
          <w:tcPr>
            <w:tcW w:type="dxa" w:w="5112"/>
            <w:vAlign w:val="center"/>
            <w:shd w:fill="EEF4F8"/>
          </w:tcPr>
          <w:p>
            <w:r/>
            <w:r>
              <w:rPr>
                <w:sz w:val="15"/>
              </w:rPr>
              <w:t>Currency</w:t>
            </w:r>
          </w:p>
        </w:tc>
        <w:tc>
          <w:tcPr>
            <w:tcW w:type="dxa" w:w="5112"/>
            <w:vAlign w:val="center"/>
            <w:shd w:fill="EEF4F8"/>
          </w:tcPr>
          <w:p>
            <w:r/>
            <w:r>
              <w:rPr>
                <w:sz w:val="15"/>
              </w:rPr>
              <w:t>Locale-aware pricing and formatting</w:t>
            </w:r>
          </w:p>
        </w:tc>
      </w:tr>
      <w:tr>
        <w:tc>
          <w:tcPr>
            <w:tcW w:type="dxa" w:w="5112"/>
            <w:vAlign w:val="center"/>
          </w:tcPr>
          <w:p>
            <w:r/>
            <w:r>
              <w:rPr>
                <w:sz w:val="15"/>
              </w:rPr>
              <w:t>Address</w:t>
            </w:r>
          </w:p>
        </w:tc>
        <w:tc>
          <w:tcPr>
            <w:tcW w:type="dxa" w:w="5112"/>
            <w:vAlign w:val="center"/>
          </w:tcPr>
          <w:p>
            <w:r/>
            <w:r>
              <w:rPr>
                <w:sz w:val="15"/>
              </w:rPr>
              <w:t>Country-specific address schemas and validation</w:t>
            </w:r>
          </w:p>
        </w:tc>
      </w:tr>
      <w:tr>
        <w:tc>
          <w:tcPr>
            <w:tcW w:type="dxa" w:w="5112"/>
            <w:vAlign w:val="center"/>
            <w:shd w:fill="EEF4F8"/>
          </w:tcPr>
          <w:p>
            <w:r/>
            <w:r>
              <w:rPr>
                <w:sz w:val="15"/>
              </w:rPr>
              <w:t>Tax</w:t>
            </w:r>
          </w:p>
        </w:tc>
        <w:tc>
          <w:tcPr>
            <w:tcW w:type="dxa" w:w="5112"/>
            <w:vAlign w:val="center"/>
            <w:shd w:fill="EEF4F8"/>
          </w:tcPr>
          <w:p>
            <w:r/>
            <w:r>
              <w:rPr>
                <w:sz w:val="15"/>
              </w:rPr>
              <w:t>Country/region tax rules or provider</w:t>
            </w:r>
          </w:p>
        </w:tc>
      </w:tr>
      <w:tr>
        <w:tc>
          <w:tcPr>
            <w:tcW w:type="dxa" w:w="5112"/>
            <w:vAlign w:val="center"/>
          </w:tcPr>
          <w:p>
            <w:r/>
            <w:r>
              <w:rPr>
                <w:sz w:val="15"/>
              </w:rPr>
              <w:t>Duties</w:t>
            </w:r>
          </w:p>
        </w:tc>
        <w:tc>
          <w:tcPr>
            <w:tcW w:type="dxa" w:w="5112"/>
            <w:vAlign w:val="center"/>
          </w:tcPr>
          <w:p>
            <w:r/>
            <w:r>
              <w:rPr>
                <w:sz w:val="15"/>
              </w:rPr>
              <w:t>DDP/DAP policy and clear customer disclosure</w:t>
            </w:r>
          </w:p>
        </w:tc>
      </w:tr>
      <w:tr>
        <w:tc>
          <w:tcPr>
            <w:tcW w:type="dxa" w:w="5112"/>
            <w:vAlign w:val="center"/>
            <w:shd w:fill="EEF4F8"/>
          </w:tcPr>
          <w:p>
            <w:r/>
            <w:r>
              <w:rPr>
                <w:sz w:val="15"/>
              </w:rPr>
              <w:t>Shipping</w:t>
            </w:r>
          </w:p>
        </w:tc>
        <w:tc>
          <w:tcPr>
            <w:tcW w:type="dxa" w:w="5112"/>
            <w:vAlign w:val="center"/>
            <w:shd w:fill="EEF4F8"/>
          </w:tcPr>
          <w:p>
            <w:r/>
            <w:r>
              <w:rPr>
                <w:sz w:val="15"/>
              </w:rPr>
              <w:t>Country/service restrictions and estimated delivery</w:t>
            </w:r>
          </w:p>
        </w:tc>
      </w:tr>
      <w:tr>
        <w:tc>
          <w:tcPr>
            <w:tcW w:type="dxa" w:w="5112"/>
            <w:vAlign w:val="center"/>
          </w:tcPr>
          <w:p>
            <w:r/>
            <w:r>
              <w:rPr>
                <w:sz w:val="15"/>
              </w:rPr>
              <w:t>Compliance</w:t>
            </w:r>
          </w:p>
        </w:tc>
        <w:tc>
          <w:tcPr>
            <w:tcW w:type="dxa" w:w="5112"/>
            <w:vAlign w:val="center"/>
          </w:tcPr>
          <w:p>
            <w:r/>
            <w:r>
              <w:rPr>
                <w:sz w:val="15"/>
              </w:rPr>
              <w:t>Market-specific jewellery/product restrictions</w:t>
            </w:r>
          </w:p>
        </w:tc>
      </w:tr>
    </w:tbl>
    <w:p>
      <w:pPr>
        <w:pStyle w:val="Heading1"/>
        <w:keepNext/>
      </w:pPr>
      <w:r>
        <w:t>23. Module 20 - Email &amp; Notifications</w:t>
      </w:r>
    </w:p>
    <w:p>
      <w:pPr>
        <w:pStyle w:val="ListBullet"/>
        <w:spacing w:after="40"/>
      </w:pPr>
      <w:r>
        <w:t>Welcome, verification, password reset, order confirmation, payment, shipping, delivery, return, refund, security alert and internal operations notifications.</w:t>
      </w:r>
    </w:p>
    <w:p>
      <w:pPr>
        <w:pStyle w:val="ListBullet"/>
        <w:spacing w:after="40"/>
      </w:pPr>
      <w:r>
        <w:t>Use authenticated sending domains (SPF/DKIM/DMARC), secure template handling and strict separation between transactional and marketing messages.</w:t>
      </w:r>
    </w:p>
    <w:p>
      <w:pPr>
        <w:pStyle w:val="Heading1"/>
        <w:keepNext/>
      </w:pPr>
      <w:r>
        <w:t>24. Module 21 - Reports &amp; Analytics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Report Area</w:t>
            </w:r>
          </w:p>
        </w:tc>
        <w:tc>
          <w:tcPr>
            <w:tcW w:type="dxa" w:w="5112"/>
            <w:shd w:fill="17324D"/>
          </w:tcPr>
          <w:p>
            <w:r/>
            <w:r>
              <w:rPr>
                <w:b/>
                <w:color w:val="FFFFFF"/>
                <w:sz w:val="16"/>
              </w:rPr>
              <w:t>Examples</w:t>
            </w:r>
          </w:p>
        </w:tc>
      </w:tr>
      <w:tr>
        <w:tc>
          <w:tcPr>
            <w:tcW w:type="dxa" w:w="5112"/>
            <w:vAlign w:val="center"/>
          </w:tcPr>
          <w:p>
            <w:r/>
            <w:r>
              <w:rPr>
                <w:sz w:val="15"/>
              </w:rPr>
              <w:t>Sales</w:t>
            </w:r>
          </w:p>
        </w:tc>
        <w:tc>
          <w:tcPr>
            <w:tcW w:type="dxa" w:w="5112"/>
            <w:vAlign w:val="center"/>
          </w:tcPr>
          <w:p>
            <w:r/>
            <w:r>
              <w:rPr>
                <w:sz w:val="15"/>
              </w:rPr>
              <w:t>Revenue, orders, AOV, conversion, refunds</w:t>
            </w:r>
          </w:p>
        </w:tc>
      </w:tr>
      <w:tr>
        <w:tc>
          <w:tcPr>
            <w:tcW w:type="dxa" w:w="5112"/>
            <w:vAlign w:val="center"/>
            <w:shd w:fill="EEF4F8"/>
          </w:tcPr>
          <w:p>
            <w:r/>
            <w:r>
              <w:rPr>
                <w:sz w:val="15"/>
              </w:rPr>
              <w:t>Products</w:t>
            </w:r>
          </w:p>
        </w:tc>
        <w:tc>
          <w:tcPr>
            <w:tcW w:type="dxa" w:w="5112"/>
            <w:vAlign w:val="center"/>
            <w:shd w:fill="EEF4F8"/>
          </w:tcPr>
          <w:p>
            <w:r/>
            <w:r>
              <w:rPr>
                <w:sz w:val="15"/>
              </w:rPr>
              <w:t>Top sellers, slow movers, views, stockouts</w:t>
            </w:r>
          </w:p>
        </w:tc>
      </w:tr>
      <w:tr>
        <w:tc>
          <w:tcPr>
            <w:tcW w:type="dxa" w:w="5112"/>
            <w:vAlign w:val="center"/>
          </w:tcPr>
          <w:p>
            <w:r/>
            <w:r>
              <w:rPr>
                <w:sz w:val="15"/>
              </w:rPr>
              <w:t>Customers</w:t>
            </w:r>
          </w:p>
        </w:tc>
        <w:tc>
          <w:tcPr>
            <w:tcW w:type="dxa" w:w="5112"/>
            <w:vAlign w:val="center"/>
          </w:tcPr>
          <w:p>
            <w:r/>
            <w:r>
              <w:rPr>
                <w:sz w:val="15"/>
              </w:rPr>
              <w:t>New/returning, LTV where appropriately modeled</w:t>
            </w:r>
          </w:p>
        </w:tc>
      </w:tr>
      <w:tr>
        <w:tc>
          <w:tcPr>
            <w:tcW w:type="dxa" w:w="5112"/>
            <w:vAlign w:val="center"/>
            <w:shd w:fill="EEF4F8"/>
          </w:tcPr>
          <w:p>
            <w:r/>
            <w:r>
              <w:rPr>
                <w:sz w:val="15"/>
              </w:rPr>
              <w:t>Inventory</w:t>
            </w:r>
          </w:p>
        </w:tc>
        <w:tc>
          <w:tcPr>
            <w:tcW w:type="dxa" w:w="5112"/>
            <w:vAlign w:val="center"/>
            <w:shd w:fill="EEF4F8"/>
          </w:tcPr>
          <w:p>
            <w:r/>
            <w:r>
              <w:rPr>
                <w:sz w:val="15"/>
              </w:rPr>
              <w:t>On hand, reserved, adjustment history</w:t>
            </w:r>
          </w:p>
        </w:tc>
      </w:tr>
      <w:tr>
        <w:tc>
          <w:tcPr>
            <w:tcW w:type="dxa" w:w="5112"/>
            <w:vAlign w:val="center"/>
          </w:tcPr>
          <w:p>
            <w:r/>
            <w:r>
              <w:rPr>
                <w:sz w:val="15"/>
              </w:rPr>
              <w:t>Operations</w:t>
            </w:r>
          </w:p>
        </w:tc>
        <w:tc>
          <w:tcPr>
            <w:tcW w:type="dxa" w:w="5112"/>
            <w:vAlign w:val="center"/>
          </w:tcPr>
          <w:p>
            <w:r/>
            <w:r>
              <w:rPr>
                <w:sz w:val="15"/>
              </w:rPr>
              <w:t>Payment failures, shipment failures, pending actions</w:t>
            </w:r>
          </w:p>
        </w:tc>
      </w:tr>
      <w:tr>
        <w:tc>
          <w:tcPr>
            <w:tcW w:type="dxa" w:w="5112"/>
            <w:vAlign w:val="center"/>
            <w:shd w:fill="EEF4F8"/>
          </w:tcPr>
          <w:p>
            <w:r/>
            <w:r>
              <w:rPr>
                <w:sz w:val="15"/>
              </w:rPr>
              <w:t>Security</w:t>
            </w:r>
          </w:p>
        </w:tc>
        <w:tc>
          <w:tcPr>
            <w:tcW w:type="dxa" w:w="5112"/>
            <w:vAlign w:val="center"/>
            <w:shd w:fill="EEF4F8"/>
          </w:tcPr>
          <w:p>
            <w:r/>
            <w:r>
              <w:rPr>
                <w:sz w:val="15"/>
              </w:rPr>
              <w:t>Failed logins, blocked traffic, suspicious activity</w:t>
            </w:r>
          </w:p>
        </w:tc>
      </w:tr>
    </w:tbl>
    <w:p>
      <w:pPr>
        <w:pStyle w:val="Heading1"/>
        <w:keepNext/>
      </w:pPr>
      <w:r>
        <w:t>25. Module 22 - Audit Logging &amp; Security Monitoring</w:t>
      </w:r>
    </w:p>
    <w:p>
      <w:r>
        <w:t>Every privileged and financially significant action should produce a structured audit record with actor, action, target object, timestamp, request/correlation ID and relevant before/after data (without exposing secrets).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Event Type</w:t>
            </w:r>
          </w:p>
        </w:tc>
        <w:tc>
          <w:tcPr>
            <w:tcW w:type="dxa" w:w="5112"/>
            <w:shd w:fill="17324D"/>
          </w:tcPr>
          <w:p>
            <w:r/>
            <w:r>
              <w:rPr>
                <w:b/>
                <w:color w:val="FFFFFF"/>
                <w:sz w:val="16"/>
              </w:rPr>
              <w:t>Examples</w:t>
            </w:r>
          </w:p>
        </w:tc>
      </w:tr>
      <w:tr>
        <w:tc>
          <w:tcPr>
            <w:tcW w:type="dxa" w:w="5112"/>
            <w:vAlign w:val="center"/>
          </w:tcPr>
          <w:p>
            <w:r/>
            <w:r>
              <w:rPr>
                <w:sz w:val="15"/>
              </w:rPr>
              <w:t>Authentication</w:t>
            </w:r>
          </w:p>
        </w:tc>
        <w:tc>
          <w:tcPr>
            <w:tcW w:type="dxa" w:w="5112"/>
            <w:vAlign w:val="center"/>
          </w:tcPr>
          <w:p>
            <w:r/>
            <w:r>
              <w:rPr>
                <w:sz w:val="15"/>
              </w:rPr>
              <w:t>Login, logout, MFA setup/change, password reset</w:t>
            </w:r>
          </w:p>
        </w:tc>
      </w:tr>
      <w:tr>
        <w:tc>
          <w:tcPr>
            <w:tcW w:type="dxa" w:w="5112"/>
            <w:vAlign w:val="center"/>
            <w:shd w:fill="EEF4F8"/>
          </w:tcPr>
          <w:p>
            <w:r/>
            <w:r>
              <w:rPr>
                <w:sz w:val="15"/>
              </w:rPr>
              <w:t>Authorization</w:t>
            </w:r>
          </w:p>
        </w:tc>
        <w:tc>
          <w:tcPr>
            <w:tcW w:type="dxa" w:w="5112"/>
            <w:vAlign w:val="center"/>
            <w:shd w:fill="EEF4F8"/>
          </w:tcPr>
          <w:p>
            <w:r/>
            <w:r>
              <w:rPr>
                <w:sz w:val="15"/>
              </w:rPr>
              <w:t>Role/permission changes, access denials</w:t>
            </w:r>
          </w:p>
        </w:tc>
      </w:tr>
      <w:tr>
        <w:tc>
          <w:tcPr>
            <w:tcW w:type="dxa" w:w="5112"/>
            <w:vAlign w:val="center"/>
          </w:tcPr>
          <w:p>
            <w:r/>
            <w:r>
              <w:rPr>
                <w:sz w:val="15"/>
              </w:rPr>
              <w:t>Catalog</w:t>
            </w:r>
          </w:p>
        </w:tc>
        <w:tc>
          <w:tcPr>
            <w:tcW w:type="dxa" w:w="5112"/>
            <w:vAlign w:val="center"/>
          </w:tcPr>
          <w:p>
            <w:r/>
            <w:r>
              <w:rPr>
                <w:sz w:val="15"/>
              </w:rPr>
              <w:t>Price/product/media changes</w:t>
            </w:r>
          </w:p>
        </w:tc>
      </w:tr>
      <w:tr>
        <w:tc>
          <w:tcPr>
            <w:tcW w:type="dxa" w:w="5112"/>
            <w:vAlign w:val="center"/>
            <w:shd w:fill="EEF4F8"/>
          </w:tcPr>
          <w:p>
            <w:r/>
            <w:r>
              <w:rPr>
                <w:sz w:val="15"/>
              </w:rPr>
              <w:t>Commerce</w:t>
            </w:r>
          </w:p>
        </w:tc>
        <w:tc>
          <w:tcPr>
            <w:tcW w:type="dxa" w:w="5112"/>
            <w:vAlign w:val="center"/>
            <w:shd w:fill="EEF4F8"/>
          </w:tcPr>
          <w:p>
            <w:r/>
            <w:r>
              <w:rPr>
                <w:sz w:val="15"/>
              </w:rPr>
              <w:t>Order changes, refunds, inventory adjustments</w:t>
            </w:r>
          </w:p>
        </w:tc>
      </w:tr>
      <w:tr>
        <w:tc>
          <w:tcPr>
            <w:tcW w:type="dxa" w:w="5112"/>
            <w:vAlign w:val="center"/>
          </w:tcPr>
          <w:p>
            <w:r/>
            <w:r>
              <w:rPr>
                <w:sz w:val="15"/>
              </w:rPr>
              <w:t>Data</w:t>
            </w:r>
          </w:p>
        </w:tc>
        <w:tc>
          <w:tcPr>
            <w:tcW w:type="dxa" w:w="5112"/>
            <w:vAlign w:val="center"/>
          </w:tcPr>
          <w:p>
            <w:r/>
            <w:r>
              <w:rPr>
                <w:sz w:val="15"/>
              </w:rPr>
              <w:t>Exports, bulk downloads, customer record access</w:t>
            </w:r>
          </w:p>
        </w:tc>
      </w:tr>
      <w:tr>
        <w:tc>
          <w:tcPr>
            <w:tcW w:type="dxa" w:w="5112"/>
            <w:vAlign w:val="center"/>
            <w:shd w:fill="EEF4F8"/>
          </w:tcPr>
          <w:p>
            <w:r/>
            <w:r>
              <w:rPr>
                <w:sz w:val="15"/>
              </w:rPr>
              <w:t>Security</w:t>
            </w:r>
          </w:p>
        </w:tc>
        <w:tc>
          <w:tcPr>
            <w:tcW w:type="dxa" w:w="5112"/>
            <w:vAlign w:val="center"/>
            <w:shd w:fill="EEF4F8"/>
          </w:tcPr>
          <w:p>
            <w:r/>
            <w:r>
              <w:rPr>
                <w:sz w:val="15"/>
              </w:rPr>
              <w:t>WAF blocks, suspicious logins, incident actions</w:t>
            </w:r>
          </w:p>
        </w:tc>
      </w:tr>
    </w:tbl>
    <w:p>
      <w:pPr>
        <w:pStyle w:val="Heading1"/>
        <w:keepNext/>
      </w:pPr>
      <w:r>
        <w:t>26. Module 23 - CDN, WAF, DDoS &amp; Traffic Protection</w:t>
      </w:r>
    </w:p>
    <w:p>
      <w:r>
        <w:t>Production traffic should follow: Internet → DNS → CDN/DDoS Protection → WAF → Bot Management → Rate Limiter → Load Balancer → Application → Private Data Network.</w:t>
      </w:r>
    </w:p>
    <w:p>
      <w:pPr>
        <w:pStyle w:val="ListBullet"/>
        <w:spacing w:after="40"/>
      </w:pPr>
      <w:r>
        <w:t>Keep origin IP addresses private and accessible only from approved edge/network paths.</w:t>
      </w:r>
    </w:p>
    <w:p>
      <w:pPr>
        <w:pStyle w:val="ListBullet"/>
        <w:spacing w:after="40"/>
      </w:pPr>
      <w:r>
        <w:t>Use endpoint-specific rate limits for login, password reset, search, cart, coupons, checkout, payments and webhooks.</w:t>
      </w:r>
    </w:p>
    <w:p>
      <w:pPr>
        <w:pStyle w:val="ListBullet"/>
        <w:spacing w:after="40"/>
      </w:pPr>
      <w:r>
        <w:t>Cache public catalog/content responses but never cache personalized account/order/payment responses.</w:t>
      </w:r>
    </w:p>
    <w:p>
      <w:pPr>
        <w:pStyle w:val="ListBullet"/>
        <w:spacing w:after="40"/>
      </w:pPr>
      <w:r>
        <w:t>Apply request body, URL, header and query complexity limits.</w:t>
      </w:r>
    </w:p>
    <w:p>
      <w:pPr>
        <w:pStyle w:val="ListBullet"/>
        <w:spacing w:after="40"/>
      </w:pPr>
      <w:r>
        <w:t>Use adaptive bot challenges rather than forcing challenges on every visitor.</w:t>
      </w:r>
    </w:p>
    <w:p>
      <w:pPr>
        <w:pStyle w:val="ListBullet"/>
        <w:spacing w:after="40"/>
      </w:pPr>
      <w:r>
        <w:t>Use circuit breakers, queue backpressure and graceful degradation for non-critical dependencies.</w:t>
      </w:r>
    </w:p>
    <w:p>
      <w:pPr>
        <w:pStyle w:val="ListBullet"/>
        <w:spacing w:after="40"/>
      </w:pPr>
      <w:r>
        <w:t>Maintain a DDoS incident runbook with emergency rules and escalation contacts.</w:t>
      </w:r>
    </w:p>
    <w:p>
      <w:pPr>
        <w:pStyle w:val="Heading1"/>
        <w:keepNext/>
      </w:pPr>
      <w:r>
        <w:t>27. Module 24 - QA, Security Testing &amp; Penetration Testing</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Test Type</w:t>
            </w:r>
          </w:p>
        </w:tc>
        <w:tc>
          <w:tcPr>
            <w:tcW w:type="dxa" w:w="5112"/>
            <w:shd w:fill="17324D"/>
          </w:tcPr>
          <w:p>
            <w:r/>
            <w:r>
              <w:rPr>
                <w:b/>
                <w:color w:val="FFFFFF"/>
                <w:sz w:val="16"/>
              </w:rPr>
              <w:t>Required Scope</w:t>
            </w:r>
          </w:p>
        </w:tc>
      </w:tr>
      <w:tr>
        <w:tc>
          <w:tcPr>
            <w:tcW w:type="dxa" w:w="5112"/>
            <w:vAlign w:val="center"/>
          </w:tcPr>
          <w:p>
            <w:r/>
            <w:r>
              <w:rPr>
                <w:sz w:val="15"/>
              </w:rPr>
              <w:t>Functional</w:t>
            </w:r>
          </w:p>
        </w:tc>
        <w:tc>
          <w:tcPr>
            <w:tcW w:type="dxa" w:w="5112"/>
            <w:vAlign w:val="center"/>
          </w:tcPr>
          <w:p>
            <w:r/>
            <w:r>
              <w:rPr>
                <w:sz w:val="15"/>
              </w:rPr>
              <w:t>All modules, positive and negative paths</w:t>
            </w:r>
          </w:p>
        </w:tc>
      </w:tr>
      <w:tr>
        <w:tc>
          <w:tcPr>
            <w:tcW w:type="dxa" w:w="5112"/>
            <w:vAlign w:val="center"/>
            <w:shd w:fill="EEF4F8"/>
          </w:tcPr>
          <w:p>
            <w:r/>
            <w:r>
              <w:rPr>
                <w:sz w:val="15"/>
              </w:rPr>
              <w:t>Responsive UI</w:t>
            </w:r>
          </w:p>
        </w:tc>
        <w:tc>
          <w:tcPr>
            <w:tcW w:type="dxa" w:w="5112"/>
            <w:vAlign w:val="center"/>
            <w:shd w:fill="EEF4F8"/>
          </w:tcPr>
          <w:p>
            <w:r/>
            <w:r>
              <w:rPr>
                <w:sz w:val="15"/>
              </w:rPr>
              <w:t>Desktop, tablet, mobile, touch and orientation</w:t>
            </w:r>
          </w:p>
        </w:tc>
      </w:tr>
      <w:tr>
        <w:tc>
          <w:tcPr>
            <w:tcW w:type="dxa" w:w="5112"/>
            <w:vAlign w:val="center"/>
          </w:tcPr>
          <w:p>
            <w:r/>
            <w:r>
              <w:rPr>
                <w:sz w:val="15"/>
              </w:rPr>
              <w:t>Accessibility</w:t>
            </w:r>
          </w:p>
        </w:tc>
        <w:tc>
          <w:tcPr>
            <w:tcW w:type="dxa" w:w="5112"/>
            <w:vAlign w:val="center"/>
          </w:tcPr>
          <w:p>
            <w:r/>
            <w:r>
              <w:rPr>
                <w:sz w:val="15"/>
              </w:rPr>
              <w:t>Keyboard, screen reader, contrast, zoom/reflow</w:t>
            </w:r>
          </w:p>
        </w:tc>
      </w:tr>
      <w:tr>
        <w:tc>
          <w:tcPr>
            <w:tcW w:type="dxa" w:w="5112"/>
            <w:vAlign w:val="center"/>
            <w:shd w:fill="EEF4F8"/>
          </w:tcPr>
          <w:p>
            <w:r/>
            <w:r>
              <w:rPr>
                <w:sz w:val="15"/>
              </w:rPr>
              <w:t>API security</w:t>
            </w:r>
          </w:p>
        </w:tc>
        <w:tc>
          <w:tcPr>
            <w:tcW w:type="dxa" w:w="5112"/>
            <w:vAlign w:val="center"/>
            <w:shd w:fill="EEF4F8"/>
          </w:tcPr>
          <w:p>
            <w:r/>
            <w:r>
              <w:rPr>
                <w:sz w:val="15"/>
              </w:rPr>
              <w:t>Authentication, authorization, BOLA/IDOR, validation, rate limits</w:t>
            </w:r>
          </w:p>
        </w:tc>
      </w:tr>
      <w:tr>
        <w:tc>
          <w:tcPr>
            <w:tcW w:type="dxa" w:w="5112"/>
            <w:vAlign w:val="center"/>
          </w:tcPr>
          <w:p>
            <w:r/>
            <w:r>
              <w:rPr>
                <w:sz w:val="15"/>
              </w:rPr>
              <w:t>App security</w:t>
            </w:r>
          </w:p>
        </w:tc>
        <w:tc>
          <w:tcPr>
            <w:tcW w:type="dxa" w:w="5112"/>
            <w:vAlign w:val="center"/>
          </w:tcPr>
          <w:p>
            <w:r/>
            <w:r>
              <w:rPr>
                <w:sz w:val="15"/>
              </w:rPr>
              <w:t>XSS, injection, CSRF, SSRF, file upload, session security</w:t>
            </w:r>
          </w:p>
        </w:tc>
      </w:tr>
      <w:tr>
        <w:tc>
          <w:tcPr>
            <w:tcW w:type="dxa" w:w="5112"/>
            <w:vAlign w:val="center"/>
            <w:shd w:fill="EEF4F8"/>
          </w:tcPr>
          <w:p>
            <w:r/>
            <w:r>
              <w:rPr>
                <w:sz w:val="15"/>
              </w:rPr>
              <w:t>Commerce abuse</w:t>
            </w:r>
          </w:p>
        </w:tc>
        <w:tc>
          <w:tcPr>
            <w:tcW w:type="dxa" w:w="5112"/>
            <w:vAlign w:val="center"/>
            <w:shd w:fill="EEF4F8"/>
          </w:tcPr>
          <w:p>
            <w:r/>
            <w:r>
              <w:rPr>
                <w:sz w:val="15"/>
              </w:rPr>
              <w:t>Coupon, cart, stock, payment, refund and order replay</w:t>
            </w:r>
          </w:p>
        </w:tc>
      </w:tr>
      <w:tr>
        <w:tc>
          <w:tcPr>
            <w:tcW w:type="dxa" w:w="5112"/>
            <w:vAlign w:val="center"/>
          </w:tcPr>
          <w:p>
            <w:r/>
            <w:r>
              <w:rPr>
                <w:sz w:val="15"/>
              </w:rPr>
              <w:t>Load</w:t>
            </w:r>
          </w:p>
        </w:tc>
        <w:tc>
          <w:tcPr>
            <w:tcW w:type="dxa" w:w="5112"/>
            <w:vAlign w:val="center"/>
          </w:tcPr>
          <w:p>
            <w:r/>
            <w:r>
              <w:rPr>
                <w:sz w:val="15"/>
              </w:rPr>
              <w:t>Normal, peak, spike, soak, recovery</w:t>
            </w:r>
          </w:p>
        </w:tc>
      </w:tr>
      <w:tr>
        <w:tc>
          <w:tcPr>
            <w:tcW w:type="dxa" w:w="5112"/>
            <w:vAlign w:val="center"/>
            <w:shd w:fill="EEF4F8"/>
          </w:tcPr>
          <w:p>
            <w:r/>
            <w:r>
              <w:rPr>
                <w:sz w:val="15"/>
              </w:rPr>
              <w:t>Resilience</w:t>
            </w:r>
          </w:p>
        </w:tc>
        <w:tc>
          <w:tcPr>
            <w:tcW w:type="dxa" w:w="5112"/>
            <w:vAlign w:val="center"/>
            <w:shd w:fill="EEF4F8"/>
          </w:tcPr>
          <w:p>
            <w:r/>
            <w:r>
              <w:rPr>
                <w:sz w:val="15"/>
              </w:rPr>
              <w:t>Database/PSP/cache/email/queue failures</w:t>
            </w:r>
          </w:p>
        </w:tc>
      </w:tr>
      <w:tr>
        <w:tc>
          <w:tcPr>
            <w:tcW w:type="dxa" w:w="5112"/>
            <w:vAlign w:val="center"/>
          </w:tcPr>
          <w:p>
            <w:r/>
            <w:r>
              <w:rPr>
                <w:sz w:val="15"/>
              </w:rPr>
              <w:t>Penetration</w:t>
            </w:r>
          </w:p>
        </w:tc>
        <w:tc>
          <w:tcPr>
            <w:tcW w:type="dxa" w:w="5112"/>
            <w:vAlign w:val="center"/>
          </w:tcPr>
          <w:p>
            <w:r/>
            <w:r>
              <w:rPr>
                <w:sz w:val="15"/>
              </w:rPr>
              <w:t>External, API-authenticated and admin-authenticated testing</w:t>
            </w:r>
          </w:p>
        </w:tc>
      </w:tr>
      <w:tr>
        <w:tc>
          <w:tcPr>
            <w:tcW w:type="dxa" w:w="5112"/>
            <w:vAlign w:val="center"/>
            <w:shd w:fill="EEF4F8"/>
          </w:tcPr>
          <w:p>
            <w:r/>
            <w:r>
              <w:rPr>
                <w:sz w:val="15"/>
              </w:rPr>
              <w:t>DR</w:t>
            </w:r>
          </w:p>
        </w:tc>
        <w:tc>
          <w:tcPr>
            <w:tcW w:type="dxa" w:w="5112"/>
            <w:vAlign w:val="center"/>
            <w:shd w:fill="EEF4F8"/>
          </w:tcPr>
          <w:p>
            <w:r/>
            <w:r>
              <w:rPr>
                <w:sz w:val="15"/>
              </w:rPr>
              <w:t>Backup restore, failover and rollback</w:t>
            </w:r>
          </w:p>
        </w:tc>
      </w:tr>
    </w:tbl>
    <w:p>
      <w:pPr>
        <w:pStyle w:val="Heading1"/>
        <w:keepNext/>
      </w:pPr>
      <w:r>
        <w:t>28. Module 25 - Production Deployment, Backup &amp; Disaster Recovery</w:t>
      </w:r>
    </w:p>
    <w:p>
      <w:r>
        <w:t>Deployment pipeline: Developer → Pull Request → Code Review → Tests → Security Scans → Build Artifact → Staging → E2E/DAST → Approval → Production → Smoke Test → Monitoring.</w:t>
      </w:r>
    </w:p>
    <w:p>
      <w:pPr>
        <w:pStyle w:val="ListBullet"/>
        <w:spacing w:after="40"/>
      </w:pPr>
      <w:r>
        <w:t>Separate development, staging and production environments.</w:t>
      </w:r>
    </w:p>
    <w:p>
      <w:pPr>
        <w:pStyle w:val="ListBullet"/>
        <w:spacing w:after="40"/>
      </w:pPr>
      <w:r>
        <w:t>Use managed secrets and KMS-backed encryption where available.</w:t>
      </w:r>
    </w:p>
    <w:p>
      <w:pPr>
        <w:pStyle w:val="ListBullet"/>
        <w:spacing w:after="40"/>
      </w:pPr>
      <w:r>
        <w:t>Use encrypted automated backups with isolated credentials and point-in-time recovery.</w:t>
      </w:r>
    </w:p>
    <w:p>
      <w:pPr>
        <w:pStyle w:val="ListBullet"/>
        <w:spacing w:after="40"/>
      </w:pPr>
      <w:r>
        <w:t>Perform scheduled restore drills, not only backup jobs.</w:t>
      </w:r>
    </w:p>
    <w:p>
      <w:pPr>
        <w:pStyle w:val="ListBullet"/>
        <w:spacing w:after="40"/>
      </w:pPr>
      <w:r>
        <w:t>Define target RPO/RTO for the business and validate them under realistic recovery tests.</w:t>
      </w:r>
    </w:p>
    <w:p>
      <w:pPr>
        <w:pStyle w:val="ListBullet"/>
        <w:spacing w:after="40"/>
      </w:pPr>
      <w:r>
        <w:t>Maintain rollback and incident-response runbooks.</w:t>
      </w:r>
    </w:p>
    <w:p>
      <w:pPr>
        <w:pStyle w:val="Heading1"/>
        <w:keepNext/>
      </w:pPr>
      <w:r>
        <w:t>29. Cross-Module Security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Security Layer</w:t>
            </w:r>
          </w:p>
        </w:tc>
        <w:tc>
          <w:tcPr>
            <w:tcW w:type="dxa" w:w="5112"/>
            <w:shd w:fill="17324D"/>
          </w:tcPr>
          <w:p>
            <w:r/>
            <w:r>
              <w:rPr>
                <w:b/>
                <w:color w:val="FFFFFF"/>
                <w:sz w:val="16"/>
              </w:rPr>
              <w:t>Mandatory Requirement</w:t>
            </w:r>
          </w:p>
        </w:tc>
      </w:tr>
      <w:tr>
        <w:tc>
          <w:tcPr>
            <w:tcW w:type="dxa" w:w="5112"/>
            <w:vAlign w:val="center"/>
          </w:tcPr>
          <w:p>
            <w:r/>
            <w:r>
              <w:rPr>
                <w:sz w:val="15"/>
              </w:rPr>
              <w:t>Identity</w:t>
            </w:r>
          </w:p>
        </w:tc>
        <w:tc>
          <w:tcPr>
            <w:tcW w:type="dxa" w:w="5112"/>
            <w:vAlign w:val="center"/>
          </w:tcPr>
          <w:p>
            <w:r/>
            <w:r>
              <w:rPr>
                <w:sz w:val="15"/>
              </w:rPr>
              <w:t>Strong password hashing, MFA for admins, secure session lifecycle</w:t>
            </w:r>
          </w:p>
        </w:tc>
      </w:tr>
      <w:tr>
        <w:tc>
          <w:tcPr>
            <w:tcW w:type="dxa" w:w="5112"/>
            <w:vAlign w:val="center"/>
            <w:shd w:fill="EEF4F8"/>
          </w:tcPr>
          <w:p>
            <w:r/>
            <w:r>
              <w:rPr>
                <w:sz w:val="15"/>
              </w:rPr>
              <w:t>Authorization</w:t>
            </w:r>
          </w:p>
        </w:tc>
        <w:tc>
          <w:tcPr>
            <w:tcW w:type="dxa" w:w="5112"/>
            <w:vAlign w:val="center"/>
            <w:shd w:fill="EEF4F8"/>
          </w:tcPr>
          <w:p>
            <w:r/>
            <w:r>
              <w:rPr>
                <w:sz w:val="15"/>
              </w:rPr>
              <w:t>RBAC + object-level authorization on every protected resource</w:t>
            </w:r>
          </w:p>
        </w:tc>
      </w:tr>
      <w:tr>
        <w:tc>
          <w:tcPr>
            <w:tcW w:type="dxa" w:w="5112"/>
            <w:vAlign w:val="center"/>
          </w:tcPr>
          <w:p>
            <w:r/>
            <w:r>
              <w:rPr>
                <w:sz w:val="15"/>
              </w:rPr>
              <w:t>Input</w:t>
            </w:r>
          </w:p>
        </w:tc>
        <w:tc>
          <w:tcPr>
            <w:tcW w:type="dxa" w:w="5112"/>
            <w:vAlign w:val="center"/>
          </w:tcPr>
          <w:p>
            <w:r/>
            <w:r>
              <w:rPr>
                <w:sz w:val="15"/>
              </w:rPr>
              <w:t>Strict schema validation, size/length limits, allowlists</w:t>
            </w:r>
          </w:p>
        </w:tc>
      </w:tr>
      <w:tr>
        <w:tc>
          <w:tcPr>
            <w:tcW w:type="dxa" w:w="5112"/>
            <w:vAlign w:val="center"/>
            <w:shd w:fill="EEF4F8"/>
          </w:tcPr>
          <w:p>
            <w:r/>
            <w:r>
              <w:rPr>
                <w:sz w:val="15"/>
              </w:rPr>
              <w:t>Output</w:t>
            </w:r>
          </w:p>
        </w:tc>
        <w:tc>
          <w:tcPr>
            <w:tcW w:type="dxa" w:w="5112"/>
            <w:vAlign w:val="center"/>
            <w:shd w:fill="EEF4F8"/>
          </w:tcPr>
          <w:p>
            <w:r/>
            <w:r>
              <w:rPr>
                <w:sz w:val="15"/>
              </w:rPr>
              <w:t>Encoding/sanitization, CSP, safe error messages</w:t>
            </w:r>
          </w:p>
        </w:tc>
      </w:tr>
      <w:tr>
        <w:tc>
          <w:tcPr>
            <w:tcW w:type="dxa" w:w="5112"/>
            <w:vAlign w:val="center"/>
          </w:tcPr>
          <w:p>
            <w:r/>
            <w:r>
              <w:rPr>
                <w:sz w:val="15"/>
              </w:rPr>
              <w:t>Network</w:t>
            </w:r>
          </w:p>
        </w:tc>
        <w:tc>
          <w:tcPr>
            <w:tcW w:type="dxa" w:w="5112"/>
            <w:vAlign w:val="center"/>
          </w:tcPr>
          <w:p>
            <w:r/>
            <w:r>
              <w:rPr>
                <w:sz w:val="15"/>
              </w:rPr>
              <w:t>Private DB/Redis, restricted ingress/egress, TLS everywhere</w:t>
            </w:r>
          </w:p>
        </w:tc>
      </w:tr>
      <w:tr>
        <w:tc>
          <w:tcPr>
            <w:tcW w:type="dxa" w:w="5112"/>
            <w:vAlign w:val="center"/>
            <w:shd w:fill="EEF4F8"/>
          </w:tcPr>
          <w:p>
            <w:r/>
            <w:r>
              <w:rPr>
                <w:sz w:val="15"/>
              </w:rPr>
              <w:t>Edge</w:t>
            </w:r>
          </w:p>
        </w:tc>
        <w:tc>
          <w:tcPr>
            <w:tcW w:type="dxa" w:w="5112"/>
            <w:vAlign w:val="center"/>
            <w:shd w:fill="EEF4F8"/>
          </w:tcPr>
          <w:p>
            <w:r/>
            <w:r>
              <w:rPr>
                <w:sz w:val="15"/>
              </w:rPr>
              <w:t>CDN, WAF, DDoS controls, bot management, rate limiting</w:t>
            </w:r>
          </w:p>
        </w:tc>
      </w:tr>
      <w:tr>
        <w:tc>
          <w:tcPr>
            <w:tcW w:type="dxa" w:w="5112"/>
            <w:vAlign w:val="center"/>
          </w:tcPr>
          <w:p>
            <w:r/>
            <w:r>
              <w:rPr>
                <w:sz w:val="15"/>
              </w:rPr>
              <w:t>Secrets</w:t>
            </w:r>
          </w:p>
        </w:tc>
        <w:tc>
          <w:tcPr>
            <w:tcW w:type="dxa" w:w="5112"/>
            <w:vAlign w:val="center"/>
          </w:tcPr>
          <w:p>
            <w:r/>
            <w:r>
              <w:rPr>
                <w:sz w:val="15"/>
              </w:rPr>
              <w:t>Managed secret storage, rotation, secret scanning</w:t>
            </w:r>
          </w:p>
        </w:tc>
      </w:tr>
      <w:tr>
        <w:tc>
          <w:tcPr>
            <w:tcW w:type="dxa" w:w="5112"/>
            <w:vAlign w:val="center"/>
            <w:shd w:fill="EEF4F8"/>
          </w:tcPr>
          <w:p>
            <w:r/>
            <w:r>
              <w:rPr>
                <w:sz w:val="15"/>
              </w:rPr>
              <w:t>Payment</w:t>
            </w:r>
          </w:p>
        </w:tc>
        <w:tc>
          <w:tcPr>
            <w:tcW w:type="dxa" w:w="5112"/>
            <w:vAlign w:val="center"/>
            <w:shd w:fill="EEF4F8"/>
          </w:tcPr>
          <w:p>
            <w:r/>
            <w:r>
              <w:rPr>
                <w:sz w:val="15"/>
              </w:rPr>
              <w:t>Hosted/tokenized, idempotency, webhook verification, reconciliation</w:t>
            </w:r>
          </w:p>
        </w:tc>
      </w:tr>
      <w:tr>
        <w:tc>
          <w:tcPr>
            <w:tcW w:type="dxa" w:w="5112"/>
            <w:vAlign w:val="center"/>
          </w:tcPr>
          <w:p>
            <w:r/>
            <w:r>
              <w:rPr>
                <w:sz w:val="15"/>
              </w:rPr>
              <w:t>Logging</w:t>
            </w:r>
          </w:p>
        </w:tc>
        <w:tc>
          <w:tcPr>
            <w:tcW w:type="dxa" w:w="5112"/>
            <w:vAlign w:val="center"/>
          </w:tcPr>
          <w:p>
            <w:r/>
            <w:r>
              <w:rPr>
                <w:sz w:val="15"/>
              </w:rPr>
              <w:t>Centralized, structured, no secrets/payment credentials</w:t>
            </w:r>
          </w:p>
        </w:tc>
      </w:tr>
      <w:tr>
        <w:tc>
          <w:tcPr>
            <w:tcW w:type="dxa" w:w="5112"/>
            <w:vAlign w:val="center"/>
            <w:shd w:fill="EEF4F8"/>
          </w:tcPr>
          <w:p>
            <w:r/>
            <w:r>
              <w:rPr>
                <w:sz w:val="15"/>
              </w:rPr>
              <w:t>Monitoring</w:t>
            </w:r>
          </w:p>
        </w:tc>
        <w:tc>
          <w:tcPr>
            <w:tcW w:type="dxa" w:w="5112"/>
            <w:vAlign w:val="center"/>
            <w:shd w:fill="EEF4F8"/>
          </w:tcPr>
          <w:p>
            <w:r/>
            <w:r>
              <w:rPr>
                <w:sz w:val="15"/>
              </w:rPr>
              <w:t>Business + security alerts, metrics, logs, traces</w:t>
            </w:r>
          </w:p>
        </w:tc>
      </w:tr>
      <w:tr>
        <w:tc>
          <w:tcPr>
            <w:tcW w:type="dxa" w:w="5112"/>
            <w:vAlign w:val="center"/>
          </w:tcPr>
          <w:p>
            <w:r/>
            <w:r>
              <w:rPr>
                <w:sz w:val="15"/>
              </w:rPr>
              <w:t>Resilience</w:t>
            </w:r>
          </w:p>
        </w:tc>
        <w:tc>
          <w:tcPr>
            <w:tcW w:type="dxa" w:w="5112"/>
            <w:vAlign w:val="center"/>
          </w:tcPr>
          <w:p>
            <w:r/>
            <w:r>
              <w:rPr>
                <w:sz w:val="15"/>
              </w:rPr>
              <w:t>Timeouts, retries, circuit breakers, queues, graceful degradation</w:t>
            </w:r>
          </w:p>
        </w:tc>
      </w:tr>
      <w:tr>
        <w:tc>
          <w:tcPr>
            <w:tcW w:type="dxa" w:w="5112"/>
            <w:vAlign w:val="center"/>
            <w:shd w:fill="EEF4F8"/>
          </w:tcPr>
          <w:p>
            <w:r/>
            <w:r>
              <w:rPr>
                <w:sz w:val="15"/>
              </w:rPr>
              <w:t>Supply Chain</w:t>
            </w:r>
          </w:p>
        </w:tc>
        <w:tc>
          <w:tcPr>
            <w:tcW w:type="dxa" w:w="5112"/>
            <w:vAlign w:val="center"/>
            <w:shd w:fill="EEF4F8"/>
          </w:tcPr>
          <w:p>
            <w:r/>
            <w:r>
              <w:rPr>
                <w:sz w:val="15"/>
              </w:rPr>
              <w:t>SCA, SBOM, lockfiles, protected CI/CD, signed/provenance-aware builds</w:t>
            </w:r>
          </w:p>
        </w:tc>
      </w:tr>
      <w:tr>
        <w:tc>
          <w:tcPr>
            <w:tcW w:type="dxa" w:w="5112"/>
            <w:vAlign w:val="center"/>
          </w:tcPr>
          <w:p>
            <w:r/>
            <w:r>
              <w:rPr>
                <w:sz w:val="15"/>
              </w:rPr>
              <w:t>Recovery</w:t>
            </w:r>
          </w:p>
        </w:tc>
        <w:tc>
          <w:tcPr>
            <w:tcW w:type="dxa" w:w="5112"/>
            <w:vAlign w:val="center"/>
          </w:tcPr>
          <w:p>
            <w:r/>
            <w:r>
              <w:rPr>
                <w:sz w:val="15"/>
              </w:rPr>
              <w:t>Encrypted backups, isolated backup access, tested restore</w:t>
            </w:r>
          </w:p>
        </w:tc>
      </w:tr>
      <w:tr>
        <w:tc>
          <w:tcPr>
            <w:tcW w:type="dxa" w:w="5112"/>
            <w:vAlign w:val="center"/>
            <w:shd w:fill="EEF4F8"/>
          </w:tcPr>
          <w:p>
            <w:r/>
            <w:r>
              <w:rPr>
                <w:sz w:val="15"/>
              </w:rPr>
              <w:t>Testing</w:t>
            </w:r>
          </w:p>
        </w:tc>
        <w:tc>
          <w:tcPr>
            <w:tcW w:type="dxa" w:w="5112"/>
            <w:vAlign w:val="center"/>
            <w:shd w:fill="EEF4F8"/>
          </w:tcPr>
          <w:p>
            <w:r/>
            <w:r>
              <w:rPr>
                <w:sz w:val="15"/>
              </w:rPr>
              <w:t>SAST, SCA, DAST, penetration testing, load testing, UAT</w:t>
            </w:r>
          </w:p>
        </w:tc>
      </w:tr>
    </w:tbl>
    <w:p>
      <w:pPr>
        <w:pStyle w:val="Heading1"/>
        <w:keepNext/>
      </w:pPr>
      <w:r>
        <w:t>30. Recommended Backend Domain Structure</w:t>
      </w:r>
    </w:p>
    <w:p>
      <w:r>
        <w:t>Maintain explicit domain boundaries even if the first release is a modular monolith. This creates a clean path to independently scalable services later.</w:t>
      </w:r>
    </w:p>
    <w:p>
      <w:r>
        <w:t>backend/</w:t>
        <w:br/>
        <w:t>├── auth/</w:t>
        <w:br/>
        <w:t>├── users/</w:t>
        <w:br/>
        <w:t>├── roles/</w:t>
        <w:br/>
        <w:t>├── permissions/</w:t>
        <w:br/>
        <w:t>├── security/</w:t>
        <w:br/>
        <w:t>├── audit/</w:t>
        <w:br/>
        <w:t>├── cms/</w:t>
        <w:br/>
        <w:t>├── media/</w:t>
        <w:br/>
        <w:t>├── categories/</w:t>
        <w:br/>
        <w:t>├── attributes/</w:t>
        <w:br/>
        <w:t>├── products/</w:t>
        <w:br/>
        <w:t>├── variants/</w:t>
        <w:br/>
        <w:t>├── pricing/</w:t>
        <w:br/>
        <w:t>├── promotions/</w:t>
        <w:br/>
        <w:t>├── inventory/</w:t>
        <w:br/>
        <w:t>├── customers/</w:t>
        <w:br/>
        <w:t>├── search/</w:t>
        <w:br/>
        <w:t>├── cart/</w:t>
        <w:br/>
        <w:t>├── checkout/</w:t>
        <w:br/>
        <w:t>├── payments/</w:t>
        <w:br/>
        <w:t>├── fraud/</w:t>
        <w:br/>
        <w:t>├── orders/</w:t>
        <w:br/>
        <w:t>├── shipping/</w:t>
        <w:br/>
        <w:t>├── returns/</w:t>
        <w:br/>
        <w:t>├── notifications/</w:t>
        <w:br/>
        <w:t>├── reports/</w:t>
        <w:br/>
        <w:t>└── integrations/</w:t>
      </w:r>
    </w:p>
    <w:p>
      <w:pPr>
        <w:pStyle w:val="Heading1"/>
        <w:keepNext/>
      </w:pPr>
      <w:r>
        <w:t>31. Recommended Frontend Structure</w:t>
      </w:r>
    </w:p>
    <w:p>
      <w:r>
        <w:t>frontend/</w:t>
        <w:br/>
        <w:t>├── admin/</w:t>
        <w:br/>
        <w:t>│   ├── auth/</w:t>
        <w:br/>
        <w:t>│   ├── dashboard/</w:t>
        <w:br/>
        <w:t>│   ├── users/</w:t>
        <w:br/>
        <w:t>│   ├── roles/</w:t>
        <w:br/>
        <w:t>│   ├── pages/</w:t>
        <w:br/>
        <w:t>│   ├── media/</w:t>
        <w:br/>
        <w:t>│   ├── categories/</w:t>
        <w:br/>
        <w:t>│   ├── products/</w:t>
        <w:br/>
        <w:t>│   ├── inventory/</w:t>
        <w:br/>
        <w:t>│   ├── orders/</w:t>
        <w:br/>
        <w:t>│   ├── customers/</w:t>
        <w:br/>
        <w:t>│   ├── promotions/</w:t>
        <w:br/>
        <w:t>│   ├── reports/</w:t>
        <w:br/>
        <w:t>│   ├── audit/</w:t>
        <w:br/>
        <w:t>│   └── security/</w:t>
        <w:br/>
        <w:t>└── storefront/</w:t>
        <w:br/>
        <w:t xml:space="preserve">    ├── home/</w:t>
        <w:br/>
        <w:t xml:space="preserve">    ├── categories/</w:t>
        <w:br/>
        <w:t xml:space="preserve">    ├── search/</w:t>
        <w:br/>
        <w:t xml:space="preserve">    ├── products/</w:t>
        <w:br/>
        <w:t xml:space="preserve">    ├── wishlist/</w:t>
        <w:br/>
        <w:t xml:space="preserve">    ├── cart/</w:t>
        <w:br/>
        <w:t xml:space="preserve">    ├── checkout/</w:t>
        <w:br/>
        <w:t xml:space="preserve">    ├── account/</w:t>
        <w:br/>
        <w:t xml:space="preserve">    ├── orders/</w:t>
        <w:br/>
        <w:t xml:space="preserve">    ├── returns/</w:t>
        <w:br/>
        <w:t xml:space="preserve">    └── support/</w:t>
      </w:r>
    </w:p>
    <w:p>
      <w:pPr>
        <w:pStyle w:val="Heading1"/>
        <w:keepNext/>
      </w:pPr>
      <w:r>
        <w:t>32. Module Definition of Done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Dimension</w:t>
            </w:r>
          </w:p>
        </w:tc>
        <w:tc>
          <w:tcPr>
            <w:tcW w:type="dxa" w:w="5112"/>
            <w:shd w:fill="17324D"/>
          </w:tcPr>
          <w:p>
            <w:r/>
            <w:r>
              <w:rPr>
                <w:b/>
                <w:color w:val="FFFFFF"/>
                <w:sz w:val="16"/>
              </w:rPr>
              <w:t>Definition of Done</w:t>
            </w:r>
          </w:p>
        </w:tc>
      </w:tr>
      <w:tr>
        <w:tc>
          <w:tcPr>
            <w:tcW w:type="dxa" w:w="5112"/>
            <w:vAlign w:val="center"/>
          </w:tcPr>
          <w:p>
            <w:r/>
            <w:r>
              <w:rPr>
                <w:sz w:val="15"/>
              </w:rPr>
              <w:t>UI/UX</w:t>
            </w:r>
          </w:p>
        </w:tc>
        <w:tc>
          <w:tcPr>
            <w:tcW w:type="dxa" w:w="5112"/>
            <w:vAlign w:val="center"/>
          </w:tcPr>
          <w:p>
            <w:r/>
            <w:r>
              <w:rPr>
                <w:sz w:val="15"/>
              </w:rPr>
              <w:t>Approved design implemented, responsive states, empty/loading/error states complete</w:t>
            </w:r>
          </w:p>
        </w:tc>
      </w:tr>
      <w:tr>
        <w:tc>
          <w:tcPr>
            <w:tcW w:type="dxa" w:w="5112"/>
            <w:vAlign w:val="center"/>
            <w:shd w:fill="EEF4F8"/>
          </w:tcPr>
          <w:p>
            <w:r/>
            <w:r>
              <w:rPr>
                <w:sz w:val="15"/>
              </w:rPr>
              <w:t>Frontend</w:t>
            </w:r>
          </w:p>
        </w:tc>
        <w:tc>
          <w:tcPr>
            <w:tcW w:type="dxa" w:w="5112"/>
            <w:vAlign w:val="center"/>
            <w:shd w:fill="EEF4F8"/>
          </w:tcPr>
          <w:p>
            <w:r/>
            <w:r>
              <w:rPr>
                <w:sz w:val="15"/>
              </w:rPr>
              <w:t>Type-safe code, component tests, accessibility checks, error boundaries</w:t>
            </w:r>
          </w:p>
        </w:tc>
      </w:tr>
      <w:tr>
        <w:tc>
          <w:tcPr>
            <w:tcW w:type="dxa" w:w="5112"/>
            <w:vAlign w:val="center"/>
          </w:tcPr>
          <w:p>
            <w:r/>
            <w:r>
              <w:rPr>
                <w:sz w:val="15"/>
              </w:rPr>
              <w:t>Backend</w:t>
            </w:r>
          </w:p>
        </w:tc>
        <w:tc>
          <w:tcPr>
            <w:tcW w:type="dxa" w:w="5112"/>
            <w:vAlign w:val="center"/>
          </w:tcPr>
          <w:p>
            <w:r/>
            <w:r>
              <w:rPr>
                <w:sz w:val="15"/>
              </w:rPr>
              <w:t>API implemented, validation, authorization, error contract, observability</w:t>
            </w:r>
          </w:p>
        </w:tc>
      </w:tr>
      <w:tr>
        <w:tc>
          <w:tcPr>
            <w:tcW w:type="dxa" w:w="5112"/>
            <w:vAlign w:val="center"/>
            <w:shd w:fill="EEF4F8"/>
          </w:tcPr>
          <w:p>
            <w:r/>
            <w:r>
              <w:rPr>
                <w:sz w:val="15"/>
              </w:rPr>
              <w:t>Database</w:t>
            </w:r>
          </w:p>
        </w:tc>
        <w:tc>
          <w:tcPr>
            <w:tcW w:type="dxa" w:w="5112"/>
            <w:vAlign w:val="center"/>
            <w:shd w:fill="EEF4F8"/>
          </w:tcPr>
          <w:p>
            <w:r/>
            <w:r>
              <w:rPr>
                <w:sz w:val="15"/>
              </w:rPr>
              <w:t>Migration reviewed, indexes added, rollback/forward path understood</w:t>
            </w:r>
          </w:p>
        </w:tc>
      </w:tr>
      <w:tr>
        <w:tc>
          <w:tcPr>
            <w:tcW w:type="dxa" w:w="5112"/>
            <w:vAlign w:val="center"/>
          </w:tcPr>
          <w:p>
            <w:r/>
            <w:r>
              <w:rPr>
                <w:sz w:val="15"/>
              </w:rPr>
              <w:t>Security</w:t>
            </w:r>
          </w:p>
        </w:tc>
        <w:tc>
          <w:tcPr>
            <w:tcW w:type="dxa" w:w="5112"/>
            <w:vAlign w:val="center"/>
          </w:tcPr>
          <w:p>
            <w:r/>
            <w:r>
              <w:rPr>
                <w:sz w:val="15"/>
              </w:rPr>
              <w:t>Threats identified, controls implemented, abuse cases tested</w:t>
            </w:r>
          </w:p>
        </w:tc>
      </w:tr>
      <w:tr>
        <w:tc>
          <w:tcPr>
            <w:tcW w:type="dxa" w:w="5112"/>
            <w:vAlign w:val="center"/>
            <w:shd w:fill="EEF4F8"/>
          </w:tcPr>
          <w:p>
            <w:r/>
            <w:r>
              <w:rPr>
                <w:sz w:val="15"/>
              </w:rPr>
              <w:t>Testing</w:t>
            </w:r>
          </w:p>
        </w:tc>
        <w:tc>
          <w:tcPr>
            <w:tcW w:type="dxa" w:w="5112"/>
            <w:vAlign w:val="center"/>
            <w:shd w:fill="EEF4F8"/>
          </w:tcPr>
          <w:p>
            <w:r/>
            <w:r>
              <w:rPr>
                <w:sz w:val="15"/>
              </w:rPr>
              <w:t>Unit + integration + E2E coverage for critical behavior</w:t>
            </w:r>
          </w:p>
        </w:tc>
      </w:tr>
      <w:tr>
        <w:tc>
          <w:tcPr>
            <w:tcW w:type="dxa" w:w="5112"/>
            <w:vAlign w:val="center"/>
          </w:tcPr>
          <w:p>
            <w:r/>
            <w:r>
              <w:rPr>
                <w:sz w:val="15"/>
              </w:rPr>
              <w:t>Operations</w:t>
            </w:r>
          </w:p>
        </w:tc>
        <w:tc>
          <w:tcPr>
            <w:tcW w:type="dxa" w:w="5112"/>
            <w:vAlign w:val="center"/>
          </w:tcPr>
          <w:p>
            <w:r/>
            <w:r>
              <w:rPr>
                <w:sz w:val="15"/>
              </w:rPr>
              <w:t>Metrics/logs/alerts and runbook where applicable</w:t>
            </w:r>
          </w:p>
        </w:tc>
      </w:tr>
      <w:tr>
        <w:tc>
          <w:tcPr>
            <w:tcW w:type="dxa" w:w="5112"/>
            <w:vAlign w:val="center"/>
            <w:shd w:fill="EEF4F8"/>
          </w:tcPr>
          <w:p>
            <w:r/>
            <w:r>
              <w:rPr>
                <w:sz w:val="15"/>
              </w:rPr>
              <w:t>Documentation</w:t>
            </w:r>
          </w:p>
        </w:tc>
        <w:tc>
          <w:tcPr>
            <w:tcW w:type="dxa" w:w="5112"/>
            <w:vAlign w:val="center"/>
            <w:shd w:fill="EEF4F8"/>
          </w:tcPr>
          <w:p>
            <w:r/>
            <w:r>
              <w:rPr>
                <w:sz w:val="15"/>
              </w:rPr>
              <w:t>API, admin usage and support notes updated</w:t>
            </w:r>
          </w:p>
        </w:tc>
      </w:tr>
      <w:tr>
        <w:tc>
          <w:tcPr>
            <w:tcW w:type="dxa" w:w="5112"/>
            <w:vAlign w:val="center"/>
          </w:tcPr>
          <w:p>
            <w:r/>
            <w:r>
              <w:rPr>
                <w:sz w:val="15"/>
              </w:rPr>
              <w:t>Acceptance</w:t>
            </w:r>
          </w:p>
        </w:tc>
        <w:tc>
          <w:tcPr>
            <w:tcW w:type="dxa" w:w="5112"/>
            <w:vAlign w:val="center"/>
          </w:tcPr>
          <w:p>
            <w:r/>
            <w:r>
              <w:rPr>
                <w:sz w:val="15"/>
              </w:rPr>
              <w:t>Business owner / technical owner sign-off</w:t>
            </w:r>
          </w:p>
        </w:tc>
      </w:tr>
    </w:tbl>
    <w:p>
      <w:pPr>
        <w:pStyle w:val="Heading1"/>
        <w:keepNext/>
      </w:pPr>
      <w:r>
        <w:t>33. Recommended First Development Sprint</w:t>
      </w:r>
    </w:p>
    <w:p>
      <w:pPr>
        <w:pStyle w:val="ListNumber"/>
        <w:spacing w:after="40"/>
      </w:pPr>
      <w:r>
        <w:t>Set up the repositories and environments for frontend, backend and infrastructure.</w:t>
      </w:r>
    </w:p>
    <w:p>
      <w:pPr>
        <w:pStyle w:val="ListNumber"/>
        <w:spacing w:after="40"/>
      </w:pPr>
      <w:r>
        <w:t>Configure CI/CD with linting, type checks, unit tests, secret scanning and dependency scanning.</w:t>
      </w:r>
    </w:p>
    <w:p>
      <w:pPr>
        <w:pStyle w:val="ListNumber"/>
        <w:spacing w:after="40"/>
      </w:pPr>
      <w:r>
        <w:t>Create the admin application shell and protected admin route.</w:t>
      </w:r>
    </w:p>
    <w:p>
      <w:pPr>
        <w:pStyle w:val="ListNumber"/>
        <w:spacing w:after="40"/>
      </w:pPr>
      <w:r>
        <w:t>Implement admin login, password reset and MFA foundation.</w:t>
      </w:r>
    </w:p>
    <w:p>
      <w:pPr>
        <w:pStyle w:val="ListNumber"/>
        <w:spacing w:after="40"/>
      </w:pPr>
      <w:r>
        <w:t>Create role and permission data model.</w:t>
      </w:r>
    </w:p>
    <w:p>
      <w:pPr>
        <w:pStyle w:val="ListNumber"/>
        <w:spacing w:after="40"/>
      </w:pPr>
      <w:r>
        <w:t>Implement authorization guards in the backend.</w:t>
      </w:r>
    </w:p>
    <w:p>
      <w:pPr>
        <w:pStyle w:val="ListNumber"/>
        <w:spacing w:after="40"/>
      </w:pPr>
      <w:r>
        <w:t>Create audit-event framework.</w:t>
      </w:r>
    </w:p>
    <w:p>
      <w:pPr>
        <w:pStyle w:val="ListNumber"/>
        <w:spacing w:after="40"/>
      </w:pPr>
      <w:r>
        <w:t>Create secure file/media service foundation.</w:t>
      </w:r>
    </w:p>
    <w:p>
      <w:pPr>
        <w:pStyle w:val="ListNumber"/>
        <w:spacing w:after="40"/>
      </w:pPr>
      <w:r>
        <w:t>Create the initial admin dashboard with security and operational placeholders.</w:t>
      </w:r>
    </w:p>
    <w:p>
      <w:pPr>
        <w:pStyle w:val="ListNumber"/>
        <w:spacing w:after="40"/>
      </w:pPr>
      <w:r>
        <w:t>Add baseline WAF/rate-limiting/security-header configuration in the non-production environment.</w:t>
      </w:r>
    </w:p>
    <w:p>
      <w:pPr>
        <w:pStyle w:val="Heading1"/>
        <w:keepNext/>
      </w:pPr>
      <w:r>
        <w:t>34. Final Recommended Development Order</w:t>
      </w:r>
    </w:p>
    <w:p>
      <w:r>
        <w:t>The project should be executed in vertical slices rather than building the entire frontend first and the backend later. For each module, build the UI, API, data model, authorization, logging and tests together.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Development Block</w:t>
            </w:r>
          </w:p>
        </w:tc>
        <w:tc>
          <w:tcPr>
            <w:tcW w:type="dxa" w:w="3408"/>
            <w:shd w:fill="17324D"/>
          </w:tcPr>
          <w:p>
            <w:r/>
            <w:r>
              <w:rPr>
                <w:b/>
                <w:color w:val="FFFFFF"/>
                <w:sz w:val="16"/>
              </w:rPr>
              <w:t>Modules</w:t>
            </w:r>
          </w:p>
        </w:tc>
        <w:tc>
          <w:tcPr>
            <w:tcW w:type="dxa" w:w="3408"/>
            <w:shd w:fill="17324D"/>
          </w:tcPr>
          <w:p>
            <w:r/>
            <w:r>
              <w:rPr>
                <w:b/>
                <w:color w:val="FFFFFF"/>
                <w:sz w:val="16"/>
              </w:rPr>
              <w:t>Main Milestone</w:t>
            </w:r>
          </w:p>
        </w:tc>
      </w:tr>
      <w:tr>
        <w:tc>
          <w:tcPr>
            <w:tcW w:type="dxa" w:w="3408"/>
            <w:vAlign w:val="center"/>
          </w:tcPr>
          <w:p>
            <w:r/>
            <w:r>
              <w:rPr>
                <w:sz w:val="15"/>
              </w:rPr>
              <w:t>Admin Foundation</w:t>
            </w:r>
          </w:p>
        </w:tc>
        <w:tc>
          <w:tcPr>
            <w:tcW w:type="dxa" w:w="3408"/>
            <w:vAlign w:val="center"/>
          </w:tcPr>
          <w:p>
            <w:r/>
            <w:r>
              <w:rPr>
                <w:sz w:val="15"/>
              </w:rPr>
              <w:t>01–05</w:t>
            </w:r>
          </w:p>
        </w:tc>
        <w:tc>
          <w:tcPr>
            <w:tcW w:type="dxa" w:w="3408"/>
            <w:vAlign w:val="center"/>
          </w:tcPr>
          <w:p>
            <w:r/>
            <w:r>
              <w:rPr>
                <w:sz w:val="15"/>
              </w:rPr>
              <w:t>Secure admin portal + CMS + media management</w:t>
            </w:r>
          </w:p>
        </w:tc>
      </w:tr>
      <w:tr>
        <w:tc>
          <w:tcPr>
            <w:tcW w:type="dxa" w:w="3408"/>
            <w:vAlign w:val="center"/>
            <w:shd w:fill="EEF4F8"/>
          </w:tcPr>
          <w:p>
            <w:r/>
            <w:r>
              <w:rPr>
                <w:sz w:val="15"/>
              </w:rPr>
              <w:t>Catalog Foundation</w:t>
            </w:r>
          </w:p>
        </w:tc>
        <w:tc>
          <w:tcPr>
            <w:tcW w:type="dxa" w:w="3408"/>
            <w:vAlign w:val="center"/>
            <w:shd w:fill="EEF4F8"/>
          </w:tcPr>
          <w:p>
            <w:r/>
            <w:r>
              <w:rPr>
                <w:sz w:val="15"/>
              </w:rPr>
              <w:t>06–10</w:t>
            </w:r>
          </w:p>
        </w:tc>
        <w:tc>
          <w:tcPr>
            <w:tcW w:type="dxa" w:w="3408"/>
            <w:vAlign w:val="center"/>
            <w:shd w:fill="EEF4F8"/>
          </w:tcPr>
          <w:p>
            <w:r/>
            <w:r>
              <w:rPr>
                <w:sz w:val="15"/>
              </w:rPr>
              <w:t>Complete jewellery catalog + inventory + customers</w:t>
            </w:r>
          </w:p>
        </w:tc>
      </w:tr>
      <w:tr>
        <w:tc>
          <w:tcPr>
            <w:tcW w:type="dxa" w:w="3408"/>
            <w:vAlign w:val="center"/>
          </w:tcPr>
          <w:p>
            <w:r/>
            <w:r>
              <w:rPr>
                <w:sz w:val="15"/>
              </w:rPr>
              <w:t>Storefront</w:t>
            </w:r>
          </w:p>
        </w:tc>
        <w:tc>
          <w:tcPr>
            <w:tcW w:type="dxa" w:w="3408"/>
            <w:vAlign w:val="center"/>
          </w:tcPr>
          <w:p>
            <w:r/>
            <w:r>
              <w:rPr>
                <w:sz w:val="15"/>
              </w:rPr>
              <w:t>11–14</w:t>
            </w:r>
          </w:p>
        </w:tc>
        <w:tc>
          <w:tcPr>
            <w:tcW w:type="dxa" w:w="3408"/>
            <w:vAlign w:val="center"/>
          </w:tcPr>
          <w:p>
            <w:r/>
            <w:r>
              <w:rPr>
                <w:sz w:val="15"/>
              </w:rPr>
              <w:t>Browse → product → wishlist → cart</w:t>
            </w:r>
          </w:p>
        </w:tc>
      </w:tr>
      <w:tr>
        <w:tc>
          <w:tcPr>
            <w:tcW w:type="dxa" w:w="3408"/>
            <w:vAlign w:val="center"/>
            <w:shd w:fill="EEF4F8"/>
          </w:tcPr>
          <w:p>
            <w:r/>
            <w:r>
              <w:rPr>
                <w:sz w:val="15"/>
              </w:rPr>
              <w:t>Commerce</w:t>
            </w:r>
          </w:p>
        </w:tc>
        <w:tc>
          <w:tcPr>
            <w:tcW w:type="dxa" w:w="3408"/>
            <w:vAlign w:val="center"/>
            <w:shd w:fill="EEF4F8"/>
          </w:tcPr>
          <w:p>
            <w:r/>
            <w:r>
              <w:rPr>
                <w:sz w:val="15"/>
              </w:rPr>
              <w:t>15–18</w:t>
            </w:r>
          </w:p>
        </w:tc>
        <w:tc>
          <w:tcPr>
            <w:tcW w:type="dxa" w:w="3408"/>
            <w:vAlign w:val="center"/>
            <w:shd w:fill="EEF4F8"/>
          </w:tcPr>
          <w:p>
            <w:r/>
            <w:r>
              <w:rPr>
                <w:sz w:val="15"/>
              </w:rPr>
              <w:t>Checkout → payment → order → returns/refunds</w:t>
            </w:r>
          </w:p>
        </w:tc>
      </w:tr>
      <w:tr>
        <w:tc>
          <w:tcPr>
            <w:tcW w:type="dxa" w:w="3408"/>
            <w:vAlign w:val="center"/>
          </w:tcPr>
          <w:p>
            <w:r/>
            <w:r>
              <w:rPr>
                <w:sz w:val="15"/>
              </w:rPr>
              <w:t>International</w:t>
            </w:r>
          </w:p>
        </w:tc>
        <w:tc>
          <w:tcPr>
            <w:tcW w:type="dxa" w:w="3408"/>
            <w:vAlign w:val="center"/>
          </w:tcPr>
          <w:p>
            <w:r/>
            <w:r>
              <w:rPr>
                <w:sz w:val="15"/>
              </w:rPr>
              <w:t>19–20</w:t>
            </w:r>
          </w:p>
        </w:tc>
        <w:tc>
          <w:tcPr>
            <w:tcW w:type="dxa" w:w="3408"/>
            <w:vAlign w:val="center"/>
          </w:tcPr>
          <w:p>
            <w:r/>
            <w:r>
              <w:rPr>
                <w:sz w:val="15"/>
              </w:rPr>
              <w:t>Country/language/currency + notifications</w:t>
            </w:r>
          </w:p>
        </w:tc>
      </w:tr>
      <w:tr>
        <w:tc>
          <w:tcPr>
            <w:tcW w:type="dxa" w:w="3408"/>
            <w:vAlign w:val="center"/>
            <w:shd w:fill="EEF4F8"/>
          </w:tcPr>
          <w:p>
            <w:r/>
            <w:r>
              <w:rPr>
                <w:sz w:val="15"/>
              </w:rPr>
              <w:t>Operations</w:t>
            </w:r>
          </w:p>
        </w:tc>
        <w:tc>
          <w:tcPr>
            <w:tcW w:type="dxa" w:w="3408"/>
            <w:vAlign w:val="center"/>
            <w:shd w:fill="EEF4F8"/>
          </w:tcPr>
          <w:p>
            <w:r/>
            <w:r>
              <w:rPr>
                <w:sz w:val="15"/>
              </w:rPr>
              <w:t>21–22</w:t>
            </w:r>
          </w:p>
        </w:tc>
        <w:tc>
          <w:tcPr>
            <w:tcW w:type="dxa" w:w="3408"/>
            <w:vAlign w:val="center"/>
            <w:shd w:fill="EEF4F8"/>
          </w:tcPr>
          <w:p>
            <w:r/>
            <w:r>
              <w:rPr>
                <w:sz w:val="15"/>
              </w:rPr>
              <w:t>Reports + audit + security monitoring</w:t>
            </w:r>
          </w:p>
        </w:tc>
      </w:tr>
      <w:tr>
        <w:tc>
          <w:tcPr>
            <w:tcW w:type="dxa" w:w="3408"/>
            <w:vAlign w:val="center"/>
          </w:tcPr>
          <w:p>
            <w:r/>
            <w:r>
              <w:rPr>
                <w:sz w:val="15"/>
              </w:rPr>
              <w:t>Scale &amp; Security</w:t>
            </w:r>
          </w:p>
        </w:tc>
        <w:tc>
          <w:tcPr>
            <w:tcW w:type="dxa" w:w="3408"/>
            <w:vAlign w:val="center"/>
          </w:tcPr>
          <w:p>
            <w:r/>
            <w:r>
              <w:rPr>
                <w:sz w:val="15"/>
              </w:rPr>
              <w:t>23–24</w:t>
            </w:r>
          </w:p>
        </w:tc>
        <w:tc>
          <w:tcPr>
            <w:tcW w:type="dxa" w:w="3408"/>
            <w:vAlign w:val="center"/>
          </w:tcPr>
          <w:p>
            <w:r/>
            <w:r>
              <w:rPr>
                <w:sz w:val="15"/>
              </w:rPr>
              <w:t>DDoS/WAF + performance + penetration testing</w:t>
            </w:r>
          </w:p>
        </w:tc>
      </w:tr>
      <w:tr>
        <w:tc>
          <w:tcPr>
            <w:tcW w:type="dxa" w:w="3408"/>
            <w:vAlign w:val="center"/>
            <w:shd w:fill="EEF4F8"/>
          </w:tcPr>
          <w:p>
            <w:r/>
            <w:r>
              <w:rPr>
                <w:sz w:val="15"/>
              </w:rPr>
              <w:t>Launch</w:t>
            </w:r>
          </w:p>
        </w:tc>
        <w:tc>
          <w:tcPr>
            <w:tcW w:type="dxa" w:w="3408"/>
            <w:vAlign w:val="center"/>
            <w:shd w:fill="EEF4F8"/>
          </w:tcPr>
          <w:p>
            <w:r/>
            <w:r>
              <w:rPr>
                <w:sz w:val="15"/>
              </w:rPr>
              <w:t>25</w:t>
            </w:r>
          </w:p>
        </w:tc>
        <w:tc>
          <w:tcPr>
            <w:tcW w:type="dxa" w:w="3408"/>
            <w:vAlign w:val="center"/>
            <w:shd w:fill="EEF4F8"/>
          </w:tcPr>
          <w:p>
            <w:r/>
            <w:r>
              <w:rPr>
                <w:sz w:val="15"/>
              </w:rPr>
              <w:t>Production + DR + UAT + go-live</w:t>
            </w:r>
          </w:p>
        </w:tc>
      </w:tr>
    </w:tbl>
    <w:p>
      <w:pPr>
        <w:pStyle w:val="Heading1"/>
        <w:keepNext/>
      </w:pPr>
      <w:r>
        <w:t>35. Key Principle for The Bling Haven</w:t>
      </w:r>
    </w:p>
    <w:p>
      <w:r>
        <w:t>The project should not be treated as a collection of web pages. It is a secure international commerce platform. The admin portal, CMS, media pipeline, product system, inventory, checkout, payment, order and security monitoring are interconnected domains. The safest implementation strategy is to establish the security and administration foundation first, then build every subsequent module on top of that foundation.</w:t>
      </w:r>
    </w:p>
    <w:p>
      <w:pPr>
        <w:pStyle w:val="Heading1"/>
        <w:keepNext/>
        <w:pageBreakBefore w:val="0"/>
      </w:pPr>
      <w:r>
        <w:t>36. Reference Architecture</w:t>
      </w:r>
    </w:p>
    <w:p>
      <w:pPr>
        <w:jc w:val="center"/>
      </w:pPr>
      <w:r>
        <w:drawing>
          <wp:inline xmlns:a="http://schemas.openxmlformats.org/drawingml/2006/main" xmlns:pic="http://schemas.openxmlformats.org/drawingml/2006/picture">
            <wp:extent cx="4297680" cy="6446520"/>
            <wp:docPr id="2" name="Picture 2"/>
            <wp:cNvGraphicFramePr>
              <a:graphicFrameLocks noChangeAspect="1"/>
            </wp:cNvGraphicFramePr>
            <a:graphic>
              <a:graphicData uri="http://schemas.openxmlformats.org/drawingml/2006/picture">
                <pic:pic>
                  <pic:nvPicPr>
                    <pic:cNvPr id="0" name="a_dark_tech_themed_infographic_poster_diagram_wi.png"/>
                    <pic:cNvPicPr/>
                  </pic:nvPicPr>
                  <pic:blipFill>
                    <a:blip r:embed="rId9"/>
                    <a:stretch>
                      <a:fillRect/>
                    </a:stretch>
                  </pic:blipFill>
                  <pic:spPr>
                    <a:xfrm>
                      <a:off x="0" y="0"/>
                      <a:ext cx="4297680" cy="6446520"/>
                    </a:xfrm>
                    <a:prstGeom prst="rect"/>
                  </pic:spPr>
                </pic:pic>
              </a:graphicData>
            </a:graphic>
          </wp:inline>
        </w:drawing>
      </w:r>
    </w:p>
    <w:p>
      <w:pPr>
        <w:jc w:val="center"/>
      </w:pPr>
      <w:r>
        <w:rPr>
          <w:i/>
          <w:sz w:val="16"/>
        </w:rPr>
        <w:t>The Bling Haven - International Jewellery E-Commerce Reference Architecture</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The Bling Haven • Module-Wise Development Plan • Confidential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2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62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