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32C87" w14:textId="77777777" w:rsidR="00105A4C" w:rsidRDefault="00105A4C" w:rsidP="00105A4C">
      <w:pPr>
        <w:pStyle w:val="Body"/>
        <w:spacing w:after="160" w:line="360" w:lineRule="auto"/>
        <w:jc w:val="both"/>
        <w:rPr>
          <w:rFonts w:ascii="Helvetica" w:hAnsi="Helvetica"/>
          <w:b/>
          <w:bCs/>
          <w:sz w:val="24"/>
          <w:szCs w:val="24"/>
          <w:u w:color="000000"/>
          <w:lang w:val="de-DE"/>
        </w:rPr>
      </w:pPr>
      <w:r>
        <w:rPr>
          <w:rFonts w:ascii="Helvetica" w:hAnsi="Helvetica"/>
          <w:b/>
          <w:bCs/>
          <w:sz w:val="24"/>
          <w:szCs w:val="24"/>
          <w:u w:color="000000"/>
          <w:lang w:val="de-DE"/>
        </w:rPr>
        <w:t>SUPPLEMENTAL FIGURE LEGENDS</w:t>
      </w:r>
    </w:p>
    <w:p w14:paraId="6F801826" w14:textId="77777777" w:rsidR="00105A4C" w:rsidRDefault="00105A4C" w:rsidP="00105A4C">
      <w:pPr>
        <w:pStyle w:val="Body"/>
        <w:spacing w:line="360" w:lineRule="auto"/>
        <w:jc w:val="both"/>
        <w:rPr>
          <w:rFonts w:ascii="Helvetica" w:eastAsia="Helvetica" w:hAnsi="Helvetica" w:cs="Helvetica"/>
          <w:b/>
          <w:bCs/>
          <w:color w:val="0147FF"/>
          <w:sz w:val="24"/>
          <w:szCs w:val="24"/>
          <w:u w:color="000000"/>
          <w:lang w:val="de-DE"/>
        </w:rPr>
      </w:pPr>
      <w:hyperlink r:id="rId4" w:history="1">
        <w:r w:rsidRPr="00E34580">
          <w:rPr>
            <w:rStyle w:val="Hyperlink"/>
            <w:rFonts w:ascii="Helvetica" w:eastAsia="Helvetica" w:hAnsi="Helvetica" w:cs="Helvetica"/>
            <w:b/>
            <w:bCs/>
            <w:sz w:val="24"/>
            <w:szCs w:val="24"/>
            <w:u w:color="000000"/>
            <w:lang w:val="de-DE"/>
          </w:rPr>
          <w:t>https://github.com/horwitzlab/V1-double-opponent-receptive-fields</w:t>
        </w:r>
      </w:hyperlink>
    </w:p>
    <w:p w14:paraId="202B533B" w14:textId="77777777" w:rsidR="00105A4C" w:rsidRPr="00E34580" w:rsidRDefault="00105A4C" w:rsidP="00105A4C">
      <w:pPr>
        <w:pStyle w:val="Body"/>
        <w:spacing w:line="360" w:lineRule="auto"/>
        <w:jc w:val="both"/>
        <w:rPr>
          <w:lang w:val="de-DE"/>
        </w:rPr>
      </w:pPr>
    </w:p>
    <w:p w14:paraId="3924C7CA" w14:textId="77777777" w:rsidR="00105A4C" w:rsidRDefault="00105A4C" w:rsidP="00105A4C">
      <w:pPr>
        <w:pStyle w:val="Body"/>
        <w:spacing w:line="360" w:lineRule="auto"/>
        <w:jc w:val="both"/>
        <w:rPr>
          <w:rFonts w:ascii="Helvetica" w:eastAsia="Helvetica" w:hAnsi="Helvetica" w:cs="Helvetica"/>
          <w:sz w:val="24"/>
          <w:szCs w:val="24"/>
        </w:rPr>
      </w:pPr>
      <w:r>
        <w:rPr>
          <w:rFonts w:ascii="Helvetica" w:hAnsi="Helvetica"/>
          <w:b/>
          <w:bCs/>
          <w:sz w:val="24"/>
          <w:szCs w:val="24"/>
          <w:lang w:val="it-IT"/>
        </w:rPr>
        <w:t>Figure S</w:t>
      </w:r>
      <w:r>
        <w:rPr>
          <w:rFonts w:ascii="Helvetica" w:hAnsi="Helvetica"/>
          <w:b/>
          <w:bCs/>
          <w:sz w:val="24"/>
          <w:szCs w:val="24"/>
        </w:rPr>
        <w:t xml:space="preserve">1. </w:t>
      </w:r>
      <w:r>
        <w:rPr>
          <w:rFonts w:ascii="Helvetica" w:hAnsi="Helvetica"/>
          <w:sz w:val="24"/>
          <w:szCs w:val="24"/>
        </w:rPr>
        <w:t>Reclassification of cells with reversed cone weight criteria. Shown are the normalized cone weights of simple (black), DO</w:t>
      </w:r>
      <w:r>
        <w:rPr>
          <w:rFonts w:ascii="Helvetica" w:hAnsi="Helvetica"/>
          <w:sz w:val="24"/>
          <w:szCs w:val="24"/>
          <w:vertAlign w:val="subscript"/>
          <w:lang w:val="it-IT"/>
        </w:rPr>
        <w:t>LM-opponent</w:t>
      </w:r>
      <w:r>
        <w:rPr>
          <w:rFonts w:ascii="Helvetica" w:hAnsi="Helvetica"/>
          <w:sz w:val="24"/>
          <w:szCs w:val="24"/>
        </w:rPr>
        <w:t xml:space="preserve"> (red), DO</w:t>
      </w:r>
      <w:r>
        <w:rPr>
          <w:rFonts w:ascii="Helvetica" w:hAnsi="Helvetica"/>
          <w:sz w:val="24"/>
          <w:szCs w:val="24"/>
          <w:vertAlign w:val="subscript"/>
          <w:lang w:val="it-IT"/>
        </w:rPr>
        <w:t>S-cone sensitive</w:t>
      </w:r>
      <w:r>
        <w:rPr>
          <w:rFonts w:ascii="Helvetica" w:hAnsi="Helvetica"/>
          <w:sz w:val="24"/>
          <w:szCs w:val="24"/>
        </w:rPr>
        <w:t xml:space="preserve"> (blue) and unclassified (gray) cells. Under these criteria, cells were classified as simple if the L- and M-cone weights had the same sign, that together, accounted for 80% of the total cone weight and individually accounted for at least 20%. Cells were labeled as DO</w:t>
      </w:r>
      <w:r>
        <w:rPr>
          <w:rFonts w:ascii="Helvetica" w:hAnsi="Helvetica"/>
          <w:sz w:val="24"/>
          <w:szCs w:val="24"/>
          <w:vertAlign w:val="subscript"/>
          <w:lang w:val="it-IT"/>
        </w:rPr>
        <w:t>LM-opponent</w:t>
      </w:r>
      <w:r>
        <w:rPr>
          <w:rFonts w:ascii="Helvetica" w:hAnsi="Helvetica"/>
          <w:sz w:val="24"/>
          <w:szCs w:val="24"/>
        </w:rPr>
        <w:t xml:space="preserve"> if the L- and M-cone weights had opposite sign, together accounted for 80% and individually accounted for at least 10% of the total cone weight. Classification of DO</w:t>
      </w:r>
      <w:r>
        <w:rPr>
          <w:rFonts w:ascii="Helvetica" w:hAnsi="Helvetica"/>
          <w:sz w:val="24"/>
          <w:szCs w:val="24"/>
          <w:vertAlign w:val="subscript"/>
          <w:lang w:val="it-IT"/>
        </w:rPr>
        <w:t>S-cone sensitive</w:t>
      </w:r>
      <w:r>
        <w:rPr>
          <w:rFonts w:ascii="Helvetica" w:hAnsi="Helvetica"/>
          <w:sz w:val="24"/>
          <w:szCs w:val="24"/>
        </w:rPr>
        <w:t xml:space="preserve"> cells was unchanged from the description in the Methods.</w:t>
      </w:r>
    </w:p>
    <w:p w14:paraId="5311638D" w14:textId="77777777" w:rsidR="00105A4C" w:rsidRDefault="00105A4C" w:rsidP="00105A4C">
      <w:pPr>
        <w:pStyle w:val="Body"/>
        <w:spacing w:line="360" w:lineRule="auto"/>
        <w:jc w:val="both"/>
        <w:rPr>
          <w:rFonts w:ascii="Helvetica" w:eastAsia="Helvetica" w:hAnsi="Helvetica" w:cs="Helvetica"/>
          <w:sz w:val="24"/>
          <w:szCs w:val="24"/>
        </w:rPr>
      </w:pPr>
    </w:p>
    <w:p w14:paraId="5D2509E3" w14:textId="77777777" w:rsidR="00105A4C" w:rsidRDefault="00105A4C" w:rsidP="00105A4C">
      <w:pPr>
        <w:pStyle w:val="Body"/>
        <w:spacing w:line="360" w:lineRule="auto"/>
        <w:jc w:val="both"/>
        <w:rPr>
          <w:rFonts w:ascii="Helvetica" w:eastAsia="Helvetica" w:hAnsi="Helvetica" w:cs="Helvetica"/>
          <w:sz w:val="24"/>
          <w:szCs w:val="24"/>
        </w:rPr>
      </w:pPr>
    </w:p>
    <w:p w14:paraId="70F9385B" w14:textId="77777777" w:rsidR="00105A4C" w:rsidRDefault="00105A4C" w:rsidP="00105A4C">
      <w:pPr>
        <w:pStyle w:val="Body"/>
        <w:spacing w:line="360" w:lineRule="auto"/>
        <w:jc w:val="both"/>
        <w:rPr>
          <w:rFonts w:ascii="Times" w:eastAsia="Times" w:hAnsi="Times" w:cs="Times"/>
          <w:sz w:val="24"/>
          <w:szCs w:val="24"/>
        </w:rPr>
      </w:pPr>
      <w:r>
        <w:rPr>
          <w:rFonts w:ascii="Helvetica" w:hAnsi="Helvetica"/>
          <w:b/>
          <w:bCs/>
          <w:sz w:val="24"/>
          <w:szCs w:val="24"/>
          <w:lang w:val="it-IT"/>
        </w:rPr>
        <w:t>Figure S</w:t>
      </w:r>
      <w:r>
        <w:rPr>
          <w:rFonts w:ascii="Helvetica" w:hAnsi="Helvetica"/>
          <w:b/>
          <w:bCs/>
          <w:sz w:val="24"/>
          <w:szCs w:val="24"/>
        </w:rPr>
        <w:t xml:space="preserve">2. </w:t>
      </w:r>
      <w:r>
        <w:rPr>
          <w:rFonts w:ascii="Helvetica" w:hAnsi="Helvetica"/>
          <w:sz w:val="24"/>
          <w:szCs w:val="24"/>
        </w:rPr>
        <w:t xml:space="preserve">Model comparisons and spatial opponency analyses after reclassification of cells. </w:t>
      </w:r>
      <w:r>
        <w:rPr>
          <w:rFonts w:ascii="Helvetica" w:hAnsi="Helvetica"/>
          <w:b/>
          <w:bCs/>
          <w:sz w:val="24"/>
          <w:szCs w:val="24"/>
        </w:rPr>
        <w:t xml:space="preserve">A. </w:t>
      </w:r>
      <w:r>
        <w:rPr>
          <w:rFonts w:ascii="Helvetica" w:hAnsi="Helvetica"/>
          <w:sz w:val="24"/>
          <w:szCs w:val="24"/>
        </w:rPr>
        <w:t xml:space="preserve">Cross-validated </w:t>
      </w:r>
      <m:oMath>
        <m:r>
          <w:rPr>
            <w:rFonts w:ascii="Cambria Math" w:hAnsi="Cambria Math"/>
            <w:sz w:val="24"/>
            <w:szCs w:val="24"/>
          </w:rPr>
          <m:t>R</m:t>
        </m:r>
      </m:oMath>
      <w:r>
        <w:rPr>
          <w:rFonts w:ascii="Times" w:hAnsi="Times"/>
          <w:i/>
          <w:iCs/>
          <w:sz w:val="24"/>
          <w:szCs w:val="24"/>
        </w:rPr>
        <w:t xml:space="preserve"> </w:t>
      </w:r>
      <w:r>
        <w:rPr>
          <w:rFonts w:ascii="Helvetica" w:hAnsi="Helvetica"/>
          <w:sz w:val="24"/>
          <w:szCs w:val="24"/>
        </w:rPr>
        <w:t xml:space="preserve">is plotted from Gabor fits and from </w:t>
      </w:r>
      <w:r>
        <w:rPr>
          <w:rFonts w:ascii="Helvetica" w:hAnsi="Helvetica"/>
          <w:sz w:val="24"/>
          <w:szCs w:val="24"/>
          <w:lang w:val="it-IT"/>
        </w:rPr>
        <w:t>DoG fit</w:t>
      </w:r>
      <w:r>
        <w:rPr>
          <w:rFonts w:ascii="Helvetica" w:hAnsi="Helvetica"/>
          <w:sz w:val="24"/>
          <w:szCs w:val="24"/>
        </w:rPr>
        <w:t xml:space="preserve">s for simple cells. </w:t>
      </w:r>
      <w:r>
        <w:rPr>
          <w:rFonts w:ascii="Helvetica" w:hAnsi="Helvetica"/>
          <w:b/>
          <w:bCs/>
          <w:sz w:val="24"/>
          <w:szCs w:val="24"/>
        </w:rPr>
        <w:t xml:space="preserve">B. </w:t>
      </w:r>
      <w:r>
        <w:rPr>
          <w:rFonts w:ascii="Helvetica" w:hAnsi="Helvetica"/>
          <w:sz w:val="24"/>
          <w:szCs w:val="24"/>
        </w:rPr>
        <w:t xml:space="preserve">Identical to </w:t>
      </w:r>
      <w:r>
        <w:rPr>
          <w:rFonts w:ascii="Helvetica" w:hAnsi="Helvetica"/>
          <w:b/>
          <w:bCs/>
          <w:sz w:val="24"/>
          <w:szCs w:val="24"/>
          <w:lang w:val="pt-PT"/>
        </w:rPr>
        <w:t xml:space="preserve">A </w:t>
      </w:r>
      <w:r>
        <w:rPr>
          <w:rFonts w:ascii="Helvetica" w:hAnsi="Helvetica"/>
          <w:sz w:val="24"/>
          <w:szCs w:val="24"/>
        </w:rPr>
        <w:t>but for DO</w:t>
      </w:r>
      <w:r>
        <w:rPr>
          <w:rFonts w:ascii="Helvetica" w:hAnsi="Helvetica"/>
          <w:position w:val="-8"/>
          <w:sz w:val="16"/>
          <w:szCs w:val="16"/>
        </w:rPr>
        <w:t xml:space="preserve">LM-opponent </w:t>
      </w:r>
      <w:r>
        <w:rPr>
          <w:rFonts w:ascii="Helvetica" w:hAnsi="Helvetica"/>
          <w:sz w:val="24"/>
          <w:szCs w:val="24"/>
        </w:rPr>
        <w:t xml:space="preserve">cells. </w:t>
      </w:r>
      <w:r>
        <w:rPr>
          <w:rFonts w:ascii="Helvetica" w:hAnsi="Helvetica"/>
          <w:b/>
          <w:bCs/>
          <w:sz w:val="24"/>
          <w:szCs w:val="24"/>
          <w:lang w:val="it-IT"/>
        </w:rPr>
        <w:t xml:space="preserve">C. </w:t>
      </w:r>
      <w:r>
        <w:rPr>
          <w:rFonts w:ascii="Helvetica" w:hAnsi="Helvetica"/>
          <w:sz w:val="24"/>
          <w:szCs w:val="24"/>
        </w:rPr>
        <w:t xml:space="preserve">Analysis of best fitting phase (φ) of Gabor fits to all simple RFs (white) and those that are better fit by the Gabor model than the DoG model (black). </w:t>
      </w:r>
      <w:r>
        <w:rPr>
          <w:rFonts w:ascii="Helvetica" w:hAnsi="Helvetica"/>
          <w:b/>
          <w:bCs/>
          <w:sz w:val="24"/>
          <w:szCs w:val="24"/>
        </w:rPr>
        <w:t xml:space="preserve">D. </w:t>
      </w:r>
      <w:r>
        <w:rPr>
          <w:rFonts w:ascii="Helvetica" w:hAnsi="Helvetica"/>
          <w:sz w:val="24"/>
          <w:szCs w:val="24"/>
        </w:rPr>
        <w:t xml:space="preserve">Identical to </w:t>
      </w:r>
      <w:r>
        <w:rPr>
          <w:rFonts w:ascii="Helvetica" w:hAnsi="Helvetica"/>
          <w:b/>
          <w:bCs/>
          <w:sz w:val="24"/>
          <w:szCs w:val="24"/>
        </w:rPr>
        <w:t xml:space="preserve">C </w:t>
      </w:r>
      <w:r>
        <w:rPr>
          <w:rFonts w:ascii="Helvetica" w:hAnsi="Helvetica"/>
          <w:sz w:val="24"/>
          <w:szCs w:val="24"/>
        </w:rPr>
        <w:t>but for DO</w:t>
      </w:r>
      <w:r>
        <w:rPr>
          <w:rFonts w:ascii="Helvetica" w:hAnsi="Helvetica"/>
          <w:position w:val="-8"/>
          <w:sz w:val="16"/>
          <w:szCs w:val="16"/>
        </w:rPr>
        <w:t xml:space="preserve">LM-opponent </w:t>
      </w:r>
      <w:r>
        <w:rPr>
          <w:rFonts w:ascii="Helvetica" w:hAnsi="Helvetica"/>
          <w:sz w:val="24"/>
          <w:szCs w:val="24"/>
          <w:lang w:val="pt-PT"/>
        </w:rPr>
        <w:t xml:space="preserve">RFs. </w:t>
      </w:r>
      <w:r>
        <w:rPr>
          <w:rFonts w:ascii="Helvetica" w:hAnsi="Helvetica"/>
          <w:b/>
          <w:bCs/>
          <w:sz w:val="24"/>
          <w:szCs w:val="24"/>
        </w:rPr>
        <w:t xml:space="preserve">E. </w:t>
      </w:r>
      <w:r>
        <w:rPr>
          <w:rFonts w:ascii="Helvetica" w:hAnsi="Helvetica"/>
          <w:sz w:val="24"/>
          <w:szCs w:val="24"/>
        </w:rPr>
        <w:t xml:space="preserve">Analyses of best fitting aspect ratio (γ) of Gabor fits to all simple RFs (white) and those that are better fit by the Gabor model than the DoG model (black). The median γ is plotted for all simple cell </w:t>
      </w:r>
      <w:proofErr w:type="gramStart"/>
      <w:r>
        <w:rPr>
          <w:rFonts w:ascii="Helvetica" w:hAnsi="Helvetica"/>
          <w:sz w:val="24"/>
          <w:szCs w:val="24"/>
        </w:rPr>
        <w:t>RFs  (</w:t>
      </w:r>
      <w:proofErr w:type="gramEnd"/>
      <w:r>
        <w:rPr>
          <w:rFonts w:ascii="Helvetica" w:hAnsi="Helvetica"/>
          <w:sz w:val="24"/>
          <w:szCs w:val="24"/>
        </w:rPr>
        <w:t xml:space="preserve">open triangle) and also for cells better fit by Gabor model (closed triangle). </w:t>
      </w:r>
      <w:r>
        <w:rPr>
          <w:rFonts w:ascii="Helvetica" w:hAnsi="Helvetica"/>
          <w:b/>
          <w:bCs/>
          <w:sz w:val="24"/>
          <w:szCs w:val="24"/>
        </w:rPr>
        <w:t xml:space="preserve">F. </w:t>
      </w:r>
      <w:r>
        <w:rPr>
          <w:rFonts w:ascii="Helvetica" w:hAnsi="Helvetica"/>
          <w:sz w:val="24"/>
          <w:szCs w:val="24"/>
        </w:rPr>
        <w:t xml:space="preserve">Identical to </w:t>
      </w:r>
      <w:r>
        <w:rPr>
          <w:rFonts w:ascii="Helvetica" w:hAnsi="Helvetica"/>
          <w:b/>
          <w:bCs/>
          <w:sz w:val="24"/>
          <w:szCs w:val="24"/>
        </w:rPr>
        <w:t xml:space="preserve">E </w:t>
      </w:r>
      <w:r>
        <w:rPr>
          <w:rFonts w:ascii="Helvetica" w:hAnsi="Helvetica"/>
          <w:sz w:val="24"/>
          <w:szCs w:val="24"/>
        </w:rPr>
        <w:t xml:space="preserve">but for DO RFs. </w:t>
      </w:r>
      <w:r>
        <w:rPr>
          <w:rFonts w:ascii="Helvetica" w:hAnsi="Helvetica"/>
          <w:b/>
          <w:bCs/>
          <w:sz w:val="24"/>
          <w:szCs w:val="24"/>
        </w:rPr>
        <w:t xml:space="preserve">G. </w:t>
      </w:r>
      <w:r>
        <w:rPr>
          <w:rFonts w:ascii="Helvetica" w:hAnsi="Helvetica"/>
          <w:sz w:val="24"/>
          <w:szCs w:val="24"/>
        </w:rPr>
        <w:t xml:space="preserve">Cross-validated </w:t>
      </w:r>
      <m:oMath>
        <m:r>
          <w:rPr>
            <w:rFonts w:ascii="Cambria Math" w:hAnsi="Cambria Math"/>
            <w:sz w:val="24"/>
            <w:szCs w:val="24"/>
          </w:rPr>
          <m:t>R</m:t>
        </m:r>
      </m:oMath>
      <w:r>
        <w:rPr>
          <w:rFonts w:ascii="Times" w:hAnsi="Times"/>
          <w:i/>
          <w:iCs/>
          <w:sz w:val="24"/>
          <w:szCs w:val="24"/>
        </w:rPr>
        <w:t xml:space="preserve"> </w:t>
      </w:r>
      <w:r>
        <w:rPr>
          <w:rFonts w:ascii="Helvetica" w:hAnsi="Helvetica"/>
          <w:sz w:val="24"/>
          <w:szCs w:val="24"/>
        </w:rPr>
        <w:t xml:space="preserve">is plotted from Gabor fits and from non-concentric DoG fits for simple cells. </w:t>
      </w:r>
      <w:r>
        <w:rPr>
          <w:rFonts w:ascii="Helvetica" w:hAnsi="Helvetica"/>
          <w:b/>
          <w:bCs/>
          <w:sz w:val="24"/>
          <w:szCs w:val="24"/>
        </w:rPr>
        <w:t xml:space="preserve">H. </w:t>
      </w:r>
      <w:r>
        <w:rPr>
          <w:rFonts w:ascii="Helvetica" w:hAnsi="Helvetica"/>
          <w:sz w:val="24"/>
          <w:szCs w:val="24"/>
        </w:rPr>
        <w:t xml:space="preserve">Identical to </w:t>
      </w:r>
      <w:r>
        <w:rPr>
          <w:rFonts w:ascii="Helvetica" w:hAnsi="Helvetica"/>
          <w:b/>
          <w:bCs/>
          <w:sz w:val="24"/>
          <w:szCs w:val="24"/>
        </w:rPr>
        <w:t xml:space="preserve">G </w:t>
      </w:r>
      <w:r>
        <w:rPr>
          <w:rFonts w:ascii="Helvetica" w:hAnsi="Helvetica"/>
          <w:sz w:val="24"/>
          <w:szCs w:val="24"/>
        </w:rPr>
        <w:t>but for DO</w:t>
      </w:r>
      <w:r>
        <w:rPr>
          <w:rFonts w:ascii="Helvetica" w:hAnsi="Helvetica"/>
          <w:position w:val="-8"/>
          <w:sz w:val="16"/>
          <w:szCs w:val="16"/>
        </w:rPr>
        <w:t xml:space="preserve">LM-opponent </w:t>
      </w:r>
      <w:r>
        <w:rPr>
          <w:rFonts w:ascii="Helvetica" w:hAnsi="Helvetica"/>
          <w:sz w:val="24"/>
          <w:szCs w:val="24"/>
        </w:rPr>
        <w:t xml:space="preserve">cells. </w:t>
      </w:r>
      <w:r>
        <w:rPr>
          <w:rFonts w:ascii="Helvetica" w:hAnsi="Helvetica"/>
          <w:b/>
          <w:bCs/>
          <w:sz w:val="24"/>
          <w:szCs w:val="24"/>
        </w:rPr>
        <w:t xml:space="preserve">I. </w:t>
      </w:r>
      <w:r>
        <w:rPr>
          <w:rFonts w:ascii="Helvetica" w:hAnsi="Helvetica"/>
          <w:sz w:val="24"/>
          <w:szCs w:val="24"/>
        </w:rPr>
        <w:t>Histogram of spatial opponency indices (</w:t>
      </w:r>
      <m:oMath>
        <m:r>
          <w:rPr>
            <w:rFonts w:ascii="Cambria Math" w:hAnsi="Cambria Math"/>
            <w:sz w:val="24"/>
            <w:szCs w:val="24"/>
          </w:rPr>
          <m:t>SOI</m:t>
        </m:r>
      </m:oMath>
      <w:r>
        <w:rPr>
          <w:rFonts w:ascii="Helvetica" w:hAnsi="Helvetica"/>
          <w:sz w:val="24"/>
          <w:szCs w:val="24"/>
        </w:rPr>
        <w:t xml:space="preserve">s) for simple cells based on spatial weighting functions. </w:t>
      </w:r>
      <w:r>
        <w:rPr>
          <w:rFonts w:ascii="Helvetica" w:hAnsi="Helvetica"/>
          <w:b/>
          <w:bCs/>
          <w:sz w:val="24"/>
          <w:szCs w:val="24"/>
        </w:rPr>
        <w:t xml:space="preserve">J. </w:t>
      </w:r>
      <w:r>
        <w:rPr>
          <w:rFonts w:ascii="Helvetica" w:hAnsi="Helvetica"/>
          <w:sz w:val="24"/>
          <w:szCs w:val="24"/>
        </w:rPr>
        <w:t xml:space="preserve">Identical to </w:t>
      </w:r>
      <w:r>
        <w:rPr>
          <w:rFonts w:ascii="Helvetica" w:hAnsi="Helvetica"/>
          <w:b/>
          <w:bCs/>
          <w:sz w:val="24"/>
          <w:szCs w:val="24"/>
        </w:rPr>
        <w:t xml:space="preserve">I </w:t>
      </w:r>
      <w:r>
        <w:rPr>
          <w:rFonts w:ascii="Helvetica" w:hAnsi="Helvetica"/>
          <w:sz w:val="24"/>
          <w:szCs w:val="24"/>
        </w:rPr>
        <w:t>but for DO</w:t>
      </w:r>
      <w:r>
        <w:rPr>
          <w:rFonts w:ascii="Helvetica" w:hAnsi="Helvetica"/>
          <w:position w:val="-8"/>
          <w:sz w:val="16"/>
          <w:szCs w:val="16"/>
        </w:rPr>
        <w:t xml:space="preserve">LM-opponent </w:t>
      </w:r>
      <w:r>
        <w:rPr>
          <w:rFonts w:ascii="Helvetica" w:hAnsi="Helvetica"/>
          <w:sz w:val="24"/>
          <w:szCs w:val="24"/>
        </w:rPr>
        <w:t>cells.</w:t>
      </w:r>
      <w:r>
        <w:rPr>
          <w:rFonts w:ascii="Helvetica" w:hAnsi="Helvetica"/>
          <w:color w:val="1248FF"/>
          <w:sz w:val="24"/>
          <w:szCs w:val="24"/>
        </w:rPr>
        <w:t xml:space="preserve"> </w:t>
      </w:r>
    </w:p>
    <w:p w14:paraId="23F3F4AB" w14:textId="77777777" w:rsidR="00105A4C" w:rsidRDefault="00105A4C" w:rsidP="00105A4C">
      <w:pPr>
        <w:pStyle w:val="Body"/>
        <w:spacing w:line="360" w:lineRule="auto"/>
        <w:jc w:val="both"/>
        <w:rPr>
          <w:rFonts w:ascii="Helvetica" w:eastAsia="Helvetica" w:hAnsi="Helvetica" w:cs="Helvetica"/>
          <w:sz w:val="24"/>
          <w:szCs w:val="24"/>
        </w:rPr>
      </w:pPr>
    </w:p>
    <w:p w14:paraId="60FE1677" w14:textId="77777777" w:rsidR="00105A4C" w:rsidRDefault="00105A4C" w:rsidP="00105A4C">
      <w:pPr>
        <w:pStyle w:val="Body"/>
        <w:spacing w:line="360" w:lineRule="auto"/>
        <w:jc w:val="both"/>
        <w:rPr>
          <w:rFonts w:ascii="Helvetica" w:eastAsia="Helvetica" w:hAnsi="Helvetica" w:cs="Helvetica"/>
          <w:sz w:val="24"/>
          <w:szCs w:val="24"/>
        </w:rPr>
      </w:pPr>
    </w:p>
    <w:p w14:paraId="0EB0C4FA" w14:textId="77777777" w:rsidR="00105A4C" w:rsidRDefault="00105A4C" w:rsidP="00105A4C">
      <w:pPr>
        <w:pStyle w:val="Body"/>
        <w:spacing w:line="360" w:lineRule="auto"/>
        <w:jc w:val="both"/>
        <w:rPr>
          <w:rFonts w:ascii="Helvetica" w:eastAsia="Helvetica" w:hAnsi="Helvetica" w:cs="Helvetica"/>
          <w:sz w:val="24"/>
          <w:szCs w:val="24"/>
        </w:rPr>
      </w:pPr>
      <w:r>
        <w:rPr>
          <w:rFonts w:ascii="Helvetica" w:hAnsi="Helvetica"/>
          <w:b/>
          <w:bCs/>
          <w:sz w:val="24"/>
          <w:szCs w:val="24"/>
          <w:lang w:val="it-IT"/>
        </w:rPr>
        <w:t>Figure S</w:t>
      </w:r>
      <w:r>
        <w:rPr>
          <w:rFonts w:ascii="Helvetica" w:hAnsi="Helvetica"/>
          <w:b/>
          <w:bCs/>
          <w:sz w:val="24"/>
          <w:szCs w:val="24"/>
        </w:rPr>
        <w:t xml:space="preserve">3. </w:t>
      </w:r>
      <w:r>
        <w:rPr>
          <w:rFonts w:ascii="Helvetica" w:hAnsi="Helvetica"/>
          <w:sz w:val="24"/>
          <w:szCs w:val="24"/>
        </w:rPr>
        <w:t xml:space="preserve">Comparison of Gabor and DoG model fits using three different analyses. </w:t>
      </w:r>
      <w:r>
        <w:rPr>
          <w:rFonts w:ascii="Helvetica" w:hAnsi="Helvetica"/>
          <w:b/>
          <w:bCs/>
          <w:sz w:val="24"/>
          <w:szCs w:val="24"/>
        </w:rPr>
        <w:t xml:space="preserve">A. </w:t>
      </w:r>
      <w:r>
        <w:rPr>
          <w:rFonts w:ascii="Helvetica" w:hAnsi="Helvetica"/>
          <w:sz w:val="24"/>
          <w:szCs w:val="24"/>
        </w:rPr>
        <w:t xml:space="preserve">Cross-validated prediction of spike-triggered stimuli using the area under receiver </w:t>
      </w:r>
      <w:r>
        <w:rPr>
          <w:rFonts w:ascii="Helvetica" w:hAnsi="Helvetica"/>
          <w:sz w:val="24"/>
          <w:szCs w:val="24"/>
        </w:rPr>
        <w:lastRenderedPageBreak/>
        <w:t xml:space="preserve">operating characteristics (ROC AUC) is plotted from Gabor fits and from </w:t>
      </w:r>
      <w:r>
        <w:rPr>
          <w:rFonts w:ascii="Helvetica" w:hAnsi="Helvetica"/>
          <w:sz w:val="24"/>
          <w:szCs w:val="24"/>
          <w:lang w:val="nl-NL"/>
        </w:rPr>
        <w:t>DoG fits</w:t>
      </w:r>
      <w:r>
        <w:rPr>
          <w:rFonts w:ascii="Helvetica" w:hAnsi="Helvetica"/>
          <w:sz w:val="24"/>
          <w:szCs w:val="24"/>
        </w:rPr>
        <w:t xml:space="preserve"> for simple cells. </w:t>
      </w:r>
      <w:r>
        <w:rPr>
          <w:rFonts w:ascii="Helvetica" w:hAnsi="Helvetica"/>
          <w:b/>
          <w:bCs/>
          <w:sz w:val="24"/>
          <w:szCs w:val="24"/>
        </w:rPr>
        <w:t>B.</w:t>
      </w:r>
      <w:r>
        <w:rPr>
          <w:rFonts w:ascii="Helvetica" w:hAnsi="Helvetica"/>
          <w:sz w:val="24"/>
          <w:szCs w:val="24"/>
        </w:rPr>
        <w:t xml:space="preserve"> Identical to </w:t>
      </w:r>
      <w:r>
        <w:rPr>
          <w:rFonts w:ascii="Helvetica" w:hAnsi="Helvetica"/>
          <w:b/>
          <w:bCs/>
          <w:sz w:val="24"/>
          <w:szCs w:val="24"/>
        </w:rPr>
        <w:t>A.</w:t>
      </w:r>
      <w:r>
        <w:rPr>
          <w:rFonts w:ascii="Helvetica" w:hAnsi="Helvetica"/>
          <w:sz w:val="24"/>
          <w:szCs w:val="24"/>
        </w:rPr>
        <w:t xml:space="preserve"> but for DO</w:t>
      </w:r>
      <w:r>
        <w:rPr>
          <w:rFonts w:ascii="Helvetica" w:hAnsi="Helvetica"/>
          <w:sz w:val="24"/>
          <w:szCs w:val="24"/>
          <w:vertAlign w:val="subscript"/>
          <w:lang w:val="it-IT"/>
        </w:rPr>
        <w:t>LM-opponent</w:t>
      </w:r>
      <w:r>
        <w:rPr>
          <w:rFonts w:ascii="Helvetica" w:hAnsi="Helvetica"/>
          <w:sz w:val="24"/>
          <w:szCs w:val="24"/>
          <w:lang w:val="it-IT"/>
        </w:rPr>
        <w:t xml:space="preserve"> cells. </w:t>
      </w:r>
      <w:r>
        <w:rPr>
          <w:rFonts w:ascii="Helvetica" w:hAnsi="Helvetica"/>
          <w:b/>
          <w:bCs/>
          <w:sz w:val="24"/>
          <w:szCs w:val="24"/>
          <w:lang w:val="it-IT"/>
        </w:rPr>
        <w:t xml:space="preserve">C. </w:t>
      </w:r>
      <w:r>
        <w:rPr>
          <w:rFonts w:ascii="Helvetica" w:hAnsi="Helvetica"/>
          <w:sz w:val="24"/>
          <w:szCs w:val="24"/>
        </w:rPr>
        <w:t xml:space="preserve">Identical to </w:t>
      </w:r>
      <w:r>
        <w:rPr>
          <w:rFonts w:ascii="Helvetica" w:hAnsi="Helvetica"/>
          <w:b/>
          <w:bCs/>
          <w:sz w:val="24"/>
          <w:szCs w:val="24"/>
        </w:rPr>
        <w:t>A.</w:t>
      </w:r>
      <w:r>
        <w:rPr>
          <w:rFonts w:ascii="Helvetica" w:hAnsi="Helvetica"/>
          <w:sz w:val="24"/>
          <w:szCs w:val="24"/>
        </w:rPr>
        <w:t xml:space="preserve"> but for DO</w:t>
      </w:r>
      <w:r>
        <w:rPr>
          <w:rFonts w:ascii="Helvetica" w:hAnsi="Helvetica"/>
          <w:sz w:val="24"/>
          <w:szCs w:val="24"/>
          <w:vertAlign w:val="subscript"/>
          <w:lang w:val="it-IT"/>
        </w:rPr>
        <w:t>S-cone sensitive</w:t>
      </w:r>
      <w:r>
        <w:rPr>
          <w:rFonts w:ascii="Helvetica" w:hAnsi="Helvetica"/>
          <w:sz w:val="24"/>
          <w:szCs w:val="24"/>
          <w:lang w:val="it-IT"/>
        </w:rPr>
        <w:t xml:space="preserve"> cells.</w:t>
      </w:r>
      <w:r>
        <w:rPr>
          <w:rFonts w:ascii="Helvetica" w:hAnsi="Helvetica"/>
          <w:b/>
          <w:bCs/>
          <w:sz w:val="24"/>
          <w:szCs w:val="24"/>
        </w:rPr>
        <w:t xml:space="preserve"> D. </w:t>
      </w:r>
      <w:r>
        <w:rPr>
          <w:rFonts w:ascii="Helvetica" w:hAnsi="Helvetica"/>
          <w:sz w:val="24"/>
          <w:szCs w:val="24"/>
        </w:rPr>
        <w:t xml:space="preserve">Cross-validated sum of squared errors (SSE) is plotted from Gabor fits and from DoG fits for simple cells. </w:t>
      </w:r>
      <w:r>
        <w:rPr>
          <w:rFonts w:ascii="Helvetica" w:hAnsi="Helvetica"/>
          <w:b/>
          <w:bCs/>
          <w:sz w:val="24"/>
          <w:szCs w:val="24"/>
        </w:rPr>
        <w:t>E.</w:t>
      </w:r>
      <w:r>
        <w:rPr>
          <w:rFonts w:ascii="Helvetica" w:hAnsi="Helvetica"/>
          <w:sz w:val="24"/>
          <w:szCs w:val="24"/>
        </w:rPr>
        <w:t xml:space="preserve"> Identical to </w:t>
      </w:r>
      <w:r>
        <w:rPr>
          <w:rFonts w:ascii="Helvetica" w:hAnsi="Helvetica"/>
          <w:b/>
          <w:bCs/>
          <w:sz w:val="24"/>
          <w:szCs w:val="24"/>
        </w:rPr>
        <w:t>D.</w:t>
      </w:r>
      <w:r>
        <w:rPr>
          <w:rFonts w:ascii="Helvetica" w:hAnsi="Helvetica"/>
          <w:sz w:val="24"/>
          <w:szCs w:val="24"/>
        </w:rPr>
        <w:t xml:space="preserve"> but for DO</w:t>
      </w:r>
      <w:r>
        <w:rPr>
          <w:rFonts w:ascii="Helvetica" w:hAnsi="Helvetica"/>
          <w:sz w:val="24"/>
          <w:szCs w:val="24"/>
          <w:vertAlign w:val="subscript"/>
          <w:lang w:val="it-IT"/>
        </w:rPr>
        <w:t>LM-opponent</w:t>
      </w:r>
      <w:r>
        <w:rPr>
          <w:rFonts w:ascii="Helvetica" w:hAnsi="Helvetica"/>
          <w:sz w:val="24"/>
          <w:szCs w:val="24"/>
          <w:lang w:val="it-IT"/>
        </w:rPr>
        <w:t xml:space="preserve"> cells. </w:t>
      </w:r>
      <w:r>
        <w:rPr>
          <w:rFonts w:ascii="Helvetica" w:hAnsi="Helvetica"/>
          <w:b/>
          <w:bCs/>
          <w:sz w:val="24"/>
          <w:szCs w:val="24"/>
        </w:rPr>
        <w:t xml:space="preserve">F. </w:t>
      </w:r>
      <w:r>
        <w:rPr>
          <w:rFonts w:ascii="Helvetica" w:hAnsi="Helvetica"/>
          <w:sz w:val="24"/>
          <w:szCs w:val="24"/>
        </w:rPr>
        <w:t xml:space="preserve">Identical to </w:t>
      </w:r>
      <w:r>
        <w:rPr>
          <w:rFonts w:ascii="Helvetica" w:hAnsi="Helvetica"/>
          <w:b/>
          <w:bCs/>
          <w:sz w:val="24"/>
          <w:szCs w:val="24"/>
        </w:rPr>
        <w:t>D.</w:t>
      </w:r>
      <w:r>
        <w:rPr>
          <w:rFonts w:ascii="Helvetica" w:hAnsi="Helvetica"/>
          <w:sz w:val="24"/>
          <w:szCs w:val="24"/>
        </w:rPr>
        <w:t xml:space="preserve"> but for DO</w:t>
      </w:r>
      <w:r>
        <w:rPr>
          <w:rFonts w:ascii="Helvetica" w:hAnsi="Helvetica"/>
          <w:sz w:val="24"/>
          <w:szCs w:val="24"/>
          <w:vertAlign w:val="subscript"/>
          <w:lang w:val="it-IT"/>
        </w:rPr>
        <w:t>S-cone sensitive</w:t>
      </w:r>
      <w:r>
        <w:rPr>
          <w:rFonts w:ascii="Helvetica" w:hAnsi="Helvetica"/>
          <w:sz w:val="24"/>
          <w:szCs w:val="24"/>
          <w:lang w:val="it-IT"/>
        </w:rPr>
        <w:t xml:space="preserve"> cells. </w:t>
      </w:r>
      <w:r>
        <w:rPr>
          <w:rFonts w:ascii="Helvetica" w:hAnsi="Helvetica"/>
          <w:b/>
          <w:bCs/>
          <w:sz w:val="24"/>
          <w:szCs w:val="24"/>
        </w:rPr>
        <w:t xml:space="preserve">G. </w:t>
      </w:r>
      <w:r>
        <w:rPr>
          <w:rFonts w:ascii="Helvetica" w:hAnsi="Helvetica"/>
          <w:sz w:val="24"/>
          <w:szCs w:val="24"/>
        </w:rPr>
        <w:t>Bayesian In</w:t>
      </w:r>
      <w:bookmarkStart w:id="0" w:name="_GoBack"/>
      <w:bookmarkEnd w:id="0"/>
      <w:r>
        <w:rPr>
          <w:rFonts w:ascii="Helvetica" w:hAnsi="Helvetica"/>
          <w:sz w:val="24"/>
          <w:szCs w:val="24"/>
        </w:rPr>
        <w:t xml:space="preserve">formation Criterion (BIC) is plotted from Gabor fits and from DoG fits for simple cells. A better model fit yields a lower BIC. </w:t>
      </w:r>
      <w:r>
        <w:rPr>
          <w:rFonts w:ascii="Helvetica" w:hAnsi="Helvetica"/>
          <w:b/>
          <w:bCs/>
          <w:sz w:val="24"/>
          <w:szCs w:val="24"/>
        </w:rPr>
        <w:t>H.</w:t>
      </w:r>
      <w:r>
        <w:rPr>
          <w:rFonts w:ascii="Helvetica" w:hAnsi="Helvetica"/>
          <w:sz w:val="24"/>
          <w:szCs w:val="24"/>
        </w:rPr>
        <w:t xml:space="preserve"> Identical to </w:t>
      </w:r>
      <w:r>
        <w:rPr>
          <w:rFonts w:ascii="Helvetica" w:hAnsi="Helvetica"/>
          <w:b/>
          <w:bCs/>
          <w:sz w:val="24"/>
          <w:szCs w:val="24"/>
        </w:rPr>
        <w:t>G.</w:t>
      </w:r>
      <w:r>
        <w:rPr>
          <w:rFonts w:ascii="Helvetica" w:hAnsi="Helvetica"/>
          <w:sz w:val="24"/>
          <w:szCs w:val="24"/>
        </w:rPr>
        <w:t xml:space="preserve"> but for DO</w:t>
      </w:r>
      <w:r>
        <w:rPr>
          <w:rFonts w:ascii="Helvetica" w:hAnsi="Helvetica"/>
          <w:sz w:val="24"/>
          <w:szCs w:val="24"/>
          <w:vertAlign w:val="subscript"/>
          <w:lang w:val="it-IT"/>
        </w:rPr>
        <w:t>LM-opponent</w:t>
      </w:r>
      <w:r>
        <w:rPr>
          <w:rFonts w:ascii="Helvetica" w:hAnsi="Helvetica"/>
          <w:sz w:val="24"/>
          <w:szCs w:val="24"/>
          <w:lang w:val="it-IT"/>
        </w:rPr>
        <w:t xml:space="preserve"> cells. </w:t>
      </w:r>
      <w:r>
        <w:rPr>
          <w:rFonts w:ascii="Helvetica" w:hAnsi="Helvetica"/>
          <w:b/>
          <w:bCs/>
          <w:sz w:val="24"/>
          <w:szCs w:val="24"/>
        </w:rPr>
        <w:t xml:space="preserve">I. </w:t>
      </w:r>
      <w:r>
        <w:rPr>
          <w:rFonts w:ascii="Helvetica" w:hAnsi="Helvetica"/>
          <w:sz w:val="24"/>
          <w:szCs w:val="24"/>
        </w:rPr>
        <w:t xml:space="preserve">Identical to </w:t>
      </w:r>
      <w:r>
        <w:rPr>
          <w:rFonts w:ascii="Helvetica" w:hAnsi="Helvetica"/>
          <w:b/>
          <w:bCs/>
          <w:sz w:val="24"/>
          <w:szCs w:val="24"/>
        </w:rPr>
        <w:t>G.</w:t>
      </w:r>
      <w:r>
        <w:rPr>
          <w:rFonts w:ascii="Helvetica" w:hAnsi="Helvetica"/>
          <w:sz w:val="24"/>
          <w:szCs w:val="24"/>
        </w:rPr>
        <w:t xml:space="preserve"> but for DO</w:t>
      </w:r>
      <w:r>
        <w:rPr>
          <w:rFonts w:ascii="Helvetica" w:hAnsi="Helvetica"/>
          <w:sz w:val="24"/>
          <w:szCs w:val="24"/>
          <w:vertAlign w:val="subscript"/>
          <w:lang w:val="it-IT"/>
        </w:rPr>
        <w:t>S-cone sensitive</w:t>
      </w:r>
      <w:r>
        <w:rPr>
          <w:rFonts w:ascii="Helvetica" w:hAnsi="Helvetica"/>
          <w:sz w:val="24"/>
          <w:szCs w:val="24"/>
          <w:lang w:val="it-IT"/>
        </w:rPr>
        <w:t xml:space="preserve"> cells.</w:t>
      </w:r>
    </w:p>
    <w:p w14:paraId="2E8153F5" w14:textId="77777777" w:rsidR="00105A4C" w:rsidRDefault="00105A4C" w:rsidP="00105A4C">
      <w:pPr>
        <w:pStyle w:val="Body"/>
        <w:spacing w:line="360" w:lineRule="auto"/>
        <w:jc w:val="both"/>
        <w:rPr>
          <w:rFonts w:ascii="Helvetica" w:eastAsia="Helvetica" w:hAnsi="Helvetica" w:cs="Helvetica"/>
          <w:sz w:val="24"/>
          <w:szCs w:val="24"/>
        </w:rPr>
      </w:pPr>
    </w:p>
    <w:p w14:paraId="327EAD21" w14:textId="77777777" w:rsidR="00105A4C" w:rsidRDefault="00105A4C" w:rsidP="00105A4C">
      <w:pPr>
        <w:pStyle w:val="Body"/>
        <w:spacing w:line="360" w:lineRule="auto"/>
        <w:jc w:val="both"/>
        <w:rPr>
          <w:rFonts w:ascii="Helvetica" w:eastAsia="Helvetica" w:hAnsi="Helvetica" w:cs="Helvetica"/>
          <w:sz w:val="24"/>
          <w:szCs w:val="24"/>
        </w:rPr>
      </w:pPr>
    </w:p>
    <w:p w14:paraId="40C49DA2" w14:textId="77777777" w:rsidR="00C929D4" w:rsidRDefault="00105A4C" w:rsidP="00105A4C">
      <w:pPr>
        <w:spacing w:line="360" w:lineRule="auto"/>
      </w:pPr>
      <w:r>
        <w:rPr>
          <w:rFonts w:ascii="Helvetica" w:hAnsi="Helvetica"/>
          <w:b/>
          <w:bCs/>
          <w:lang w:val="it-IT"/>
        </w:rPr>
        <w:t>Figure S</w:t>
      </w:r>
      <w:r>
        <w:rPr>
          <w:rFonts w:ascii="Helvetica" w:hAnsi="Helvetica"/>
          <w:b/>
          <w:bCs/>
        </w:rPr>
        <w:t xml:space="preserve">4. </w:t>
      </w:r>
      <w:r>
        <w:rPr>
          <w:rFonts w:ascii="Helvetica" w:hAnsi="Helvetica"/>
        </w:rPr>
        <w:t xml:space="preserve">Comparison of Gabor and non-concentric DoG model fits using three different analyses. </w:t>
      </w:r>
      <w:r>
        <w:rPr>
          <w:rFonts w:ascii="Helvetica" w:hAnsi="Helvetica"/>
          <w:b/>
          <w:bCs/>
        </w:rPr>
        <w:t xml:space="preserve">A. </w:t>
      </w:r>
      <w:r>
        <w:rPr>
          <w:rFonts w:ascii="Helvetica" w:hAnsi="Helvetica"/>
        </w:rPr>
        <w:t xml:space="preserve">Cross-validated prediction of spike-triggered stimuli using the area under receiver operating characteristics (ROC AUC) is plotted from Gabor fits and </w:t>
      </w:r>
      <w:proofErr w:type="gramStart"/>
      <w:r>
        <w:rPr>
          <w:rFonts w:ascii="Helvetica" w:hAnsi="Helvetica"/>
        </w:rPr>
        <w:t>from  non</w:t>
      </w:r>
      <w:proofErr w:type="gramEnd"/>
      <w:r>
        <w:rPr>
          <w:rFonts w:ascii="Helvetica" w:hAnsi="Helvetica"/>
        </w:rPr>
        <w:t xml:space="preserve">-concentric DoG fits for simple cells. </w:t>
      </w:r>
      <w:r>
        <w:rPr>
          <w:rFonts w:ascii="Helvetica" w:hAnsi="Helvetica"/>
          <w:b/>
          <w:bCs/>
        </w:rPr>
        <w:t>B.</w:t>
      </w:r>
      <w:r>
        <w:rPr>
          <w:rFonts w:ascii="Helvetica" w:hAnsi="Helvetica"/>
        </w:rPr>
        <w:t xml:space="preserve"> Identical to </w:t>
      </w:r>
      <w:r>
        <w:rPr>
          <w:rFonts w:ascii="Helvetica" w:hAnsi="Helvetica"/>
          <w:b/>
          <w:bCs/>
        </w:rPr>
        <w:t>A.</w:t>
      </w:r>
      <w:r>
        <w:rPr>
          <w:rFonts w:ascii="Helvetica" w:hAnsi="Helvetica"/>
        </w:rPr>
        <w:t xml:space="preserve"> but for DO</w:t>
      </w:r>
      <w:r>
        <w:rPr>
          <w:rFonts w:ascii="Helvetica" w:hAnsi="Helvetica"/>
          <w:vertAlign w:val="subscript"/>
          <w:lang w:val="it-IT"/>
        </w:rPr>
        <w:t>LM-opponent</w:t>
      </w:r>
      <w:r>
        <w:rPr>
          <w:rFonts w:ascii="Helvetica" w:hAnsi="Helvetica"/>
          <w:lang w:val="it-IT"/>
        </w:rPr>
        <w:t xml:space="preserve"> cells. </w:t>
      </w:r>
      <w:r>
        <w:rPr>
          <w:rFonts w:ascii="Helvetica" w:hAnsi="Helvetica"/>
          <w:b/>
          <w:bCs/>
          <w:lang w:val="it-IT"/>
        </w:rPr>
        <w:t xml:space="preserve">C. </w:t>
      </w:r>
      <w:r>
        <w:rPr>
          <w:rFonts w:ascii="Helvetica" w:hAnsi="Helvetica"/>
        </w:rPr>
        <w:t xml:space="preserve">Identical to </w:t>
      </w:r>
      <w:r>
        <w:rPr>
          <w:rFonts w:ascii="Helvetica" w:hAnsi="Helvetica"/>
          <w:b/>
          <w:bCs/>
        </w:rPr>
        <w:t>A.</w:t>
      </w:r>
      <w:r>
        <w:rPr>
          <w:rFonts w:ascii="Helvetica" w:hAnsi="Helvetica"/>
        </w:rPr>
        <w:t xml:space="preserve"> but for DO</w:t>
      </w:r>
      <w:r>
        <w:rPr>
          <w:rFonts w:ascii="Helvetica" w:hAnsi="Helvetica"/>
          <w:vertAlign w:val="subscript"/>
          <w:lang w:val="it-IT"/>
        </w:rPr>
        <w:t>S-cone sensitive</w:t>
      </w:r>
      <w:r>
        <w:rPr>
          <w:rFonts w:ascii="Helvetica" w:hAnsi="Helvetica"/>
          <w:lang w:val="it-IT"/>
        </w:rPr>
        <w:t xml:space="preserve"> cells.</w:t>
      </w:r>
      <w:r>
        <w:rPr>
          <w:rFonts w:ascii="Helvetica" w:hAnsi="Helvetica"/>
          <w:b/>
          <w:bCs/>
        </w:rPr>
        <w:t xml:space="preserve"> D. </w:t>
      </w:r>
      <w:r>
        <w:rPr>
          <w:rFonts w:ascii="Helvetica" w:hAnsi="Helvetica"/>
        </w:rPr>
        <w:t xml:space="preserve">Cross-validated sum of squared errors (SSE) is plotted from Gabor fits and from non-concentric DoG fits for simple cells. </w:t>
      </w:r>
      <w:r>
        <w:rPr>
          <w:rFonts w:ascii="Helvetica" w:hAnsi="Helvetica"/>
          <w:b/>
          <w:bCs/>
        </w:rPr>
        <w:t>E.</w:t>
      </w:r>
      <w:r>
        <w:rPr>
          <w:rFonts w:ascii="Helvetica" w:hAnsi="Helvetica"/>
        </w:rPr>
        <w:t xml:space="preserve"> Identical to </w:t>
      </w:r>
      <w:r>
        <w:rPr>
          <w:rFonts w:ascii="Helvetica" w:hAnsi="Helvetica"/>
          <w:b/>
          <w:bCs/>
        </w:rPr>
        <w:t>D.</w:t>
      </w:r>
      <w:r>
        <w:rPr>
          <w:rFonts w:ascii="Helvetica" w:hAnsi="Helvetica"/>
        </w:rPr>
        <w:t xml:space="preserve"> but for DO</w:t>
      </w:r>
      <w:r>
        <w:rPr>
          <w:rFonts w:ascii="Helvetica" w:hAnsi="Helvetica"/>
          <w:vertAlign w:val="subscript"/>
          <w:lang w:val="it-IT"/>
        </w:rPr>
        <w:t>LM-opponent</w:t>
      </w:r>
      <w:r>
        <w:rPr>
          <w:rFonts w:ascii="Helvetica" w:hAnsi="Helvetica"/>
          <w:lang w:val="it-IT"/>
        </w:rPr>
        <w:t xml:space="preserve"> cells. </w:t>
      </w:r>
      <w:r>
        <w:rPr>
          <w:rFonts w:ascii="Helvetica" w:hAnsi="Helvetica"/>
          <w:b/>
          <w:bCs/>
        </w:rPr>
        <w:t xml:space="preserve">F. </w:t>
      </w:r>
      <w:r>
        <w:rPr>
          <w:rFonts w:ascii="Helvetica" w:hAnsi="Helvetica"/>
        </w:rPr>
        <w:t xml:space="preserve">Identical to </w:t>
      </w:r>
      <w:r>
        <w:rPr>
          <w:rFonts w:ascii="Helvetica" w:hAnsi="Helvetica"/>
          <w:b/>
          <w:bCs/>
        </w:rPr>
        <w:t>D.</w:t>
      </w:r>
      <w:r>
        <w:rPr>
          <w:rFonts w:ascii="Helvetica" w:hAnsi="Helvetica"/>
        </w:rPr>
        <w:t xml:space="preserve"> but for DO</w:t>
      </w:r>
      <w:r>
        <w:rPr>
          <w:rFonts w:ascii="Helvetica" w:hAnsi="Helvetica"/>
          <w:vertAlign w:val="subscript"/>
          <w:lang w:val="it-IT"/>
        </w:rPr>
        <w:t xml:space="preserve">S-cone sensitive </w:t>
      </w:r>
      <w:r>
        <w:rPr>
          <w:rFonts w:ascii="Helvetica" w:hAnsi="Helvetica"/>
        </w:rPr>
        <w:t xml:space="preserve">cells. </w:t>
      </w:r>
      <w:r>
        <w:rPr>
          <w:rFonts w:ascii="Helvetica" w:hAnsi="Helvetica"/>
          <w:b/>
          <w:bCs/>
        </w:rPr>
        <w:t xml:space="preserve">G. </w:t>
      </w:r>
      <w:r>
        <w:rPr>
          <w:rFonts w:ascii="Helvetica" w:hAnsi="Helvetica"/>
        </w:rPr>
        <w:t xml:space="preserve">Bayesian Information Criterion (BIC) is plotted from Gabor fits and from non-concentric DoG fits for simple cells. A better model fit yields a lower BIC. </w:t>
      </w:r>
      <w:r>
        <w:rPr>
          <w:rFonts w:ascii="Helvetica" w:hAnsi="Helvetica"/>
          <w:b/>
          <w:bCs/>
        </w:rPr>
        <w:t>H.</w:t>
      </w:r>
      <w:r>
        <w:rPr>
          <w:rFonts w:ascii="Helvetica" w:hAnsi="Helvetica"/>
        </w:rPr>
        <w:t xml:space="preserve"> Identical to </w:t>
      </w:r>
      <w:r>
        <w:rPr>
          <w:rFonts w:ascii="Helvetica" w:hAnsi="Helvetica"/>
          <w:b/>
          <w:bCs/>
        </w:rPr>
        <w:t>G.</w:t>
      </w:r>
      <w:r>
        <w:rPr>
          <w:rFonts w:ascii="Helvetica" w:hAnsi="Helvetica"/>
        </w:rPr>
        <w:t xml:space="preserve"> but for DO</w:t>
      </w:r>
      <w:r>
        <w:rPr>
          <w:rFonts w:ascii="Helvetica" w:hAnsi="Helvetica"/>
          <w:vertAlign w:val="subscript"/>
          <w:lang w:val="it-IT"/>
        </w:rPr>
        <w:t>LM-opponent</w:t>
      </w:r>
      <w:r>
        <w:rPr>
          <w:rFonts w:ascii="Helvetica" w:hAnsi="Helvetica"/>
          <w:lang w:val="it-IT"/>
        </w:rPr>
        <w:t xml:space="preserve"> cells. </w:t>
      </w:r>
      <w:r>
        <w:rPr>
          <w:rFonts w:ascii="Helvetica" w:hAnsi="Helvetica"/>
          <w:b/>
          <w:bCs/>
        </w:rPr>
        <w:t xml:space="preserve">I. </w:t>
      </w:r>
      <w:r>
        <w:rPr>
          <w:rFonts w:ascii="Helvetica" w:hAnsi="Helvetica"/>
        </w:rPr>
        <w:t xml:space="preserve">Identical to </w:t>
      </w:r>
      <w:r>
        <w:rPr>
          <w:rFonts w:ascii="Helvetica" w:hAnsi="Helvetica"/>
          <w:b/>
          <w:bCs/>
        </w:rPr>
        <w:t>G.</w:t>
      </w:r>
      <w:r>
        <w:rPr>
          <w:rFonts w:ascii="Helvetica" w:hAnsi="Helvetica"/>
        </w:rPr>
        <w:t xml:space="preserve"> but for DO</w:t>
      </w:r>
      <w:r>
        <w:rPr>
          <w:rFonts w:ascii="Helvetica" w:hAnsi="Helvetica"/>
          <w:vertAlign w:val="subscript"/>
          <w:lang w:val="it-IT"/>
        </w:rPr>
        <w:t xml:space="preserve">S-cone sensitive </w:t>
      </w:r>
      <w:r>
        <w:rPr>
          <w:rFonts w:ascii="Helvetica" w:hAnsi="Helvetica"/>
        </w:rPr>
        <w:t>cells.</w:t>
      </w:r>
    </w:p>
    <w:sectPr w:rsidR="00C929D4" w:rsidSect="006E3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A4C"/>
    <w:rsid w:val="000005B9"/>
    <w:rsid w:val="00007664"/>
    <w:rsid w:val="00013246"/>
    <w:rsid w:val="000242C2"/>
    <w:rsid w:val="00026970"/>
    <w:rsid w:val="000270D6"/>
    <w:rsid w:val="00034866"/>
    <w:rsid w:val="00041EDE"/>
    <w:rsid w:val="000434E4"/>
    <w:rsid w:val="0004433F"/>
    <w:rsid w:val="00052F4D"/>
    <w:rsid w:val="0006031E"/>
    <w:rsid w:val="0006434B"/>
    <w:rsid w:val="00064547"/>
    <w:rsid w:val="0006620B"/>
    <w:rsid w:val="000676C6"/>
    <w:rsid w:val="000704F1"/>
    <w:rsid w:val="000739F2"/>
    <w:rsid w:val="000743B5"/>
    <w:rsid w:val="00076589"/>
    <w:rsid w:val="000829BA"/>
    <w:rsid w:val="000903F3"/>
    <w:rsid w:val="00092E46"/>
    <w:rsid w:val="0009383D"/>
    <w:rsid w:val="000938B9"/>
    <w:rsid w:val="000A40E7"/>
    <w:rsid w:val="000A5B68"/>
    <w:rsid w:val="000B17BF"/>
    <w:rsid w:val="000B2256"/>
    <w:rsid w:val="000B7F8F"/>
    <w:rsid w:val="000C1249"/>
    <w:rsid w:val="000C250C"/>
    <w:rsid w:val="000C6B71"/>
    <w:rsid w:val="000D12F2"/>
    <w:rsid w:val="000E4365"/>
    <w:rsid w:val="000F7256"/>
    <w:rsid w:val="000F7353"/>
    <w:rsid w:val="00105A4C"/>
    <w:rsid w:val="00107DBC"/>
    <w:rsid w:val="001126D1"/>
    <w:rsid w:val="0011345C"/>
    <w:rsid w:val="001155F5"/>
    <w:rsid w:val="00124112"/>
    <w:rsid w:val="001311FE"/>
    <w:rsid w:val="001342B1"/>
    <w:rsid w:val="0013799F"/>
    <w:rsid w:val="00152344"/>
    <w:rsid w:val="001523C4"/>
    <w:rsid w:val="00160401"/>
    <w:rsid w:val="00163CFD"/>
    <w:rsid w:val="001655A9"/>
    <w:rsid w:val="00165F37"/>
    <w:rsid w:val="00167CE1"/>
    <w:rsid w:val="00175409"/>
    <w:rsid w:val="0018040D"/>
    <w:rsid w:val="00184A2E"/>
    <w:rsid w:val="00184D38"/>
    <w:rsid w:val="00187A81"/>
    <w:rsid w:val="00194785"/>
    <w:rsid w:val="00194BE1"/>
    <w:rsid w:val="001A2A69"/>
    <w:rsid w:val="001A41E1"/>
    <w:rsid w:val="001B7C28"/>
    <w:rsid w:val="001B7E92"/>
    <w:rsid w:val="001D40B7"/>
    <w:rsid w:val="001D7144"/>
    <w:rsid w:val="001E1B45"/>
    <w:rsid w:val="001E51BD"/>
    <w:rsid w:val="001E523F"/>
    <w:rsid w:val="001E5F67"/>
    <w:rsid w:val="001E73ED"/>
    <w:rsid w:val="001F2BB7"/>
    <w:rsid w:val="001F72E3"/>
    <w:rsid w:val="00203313"/>
    <w:rsid w:val="00204836"/>
    <w:rsid w:val="002068E7"/>
    <w:rsid w:val="0020735C"/>
    <w:rsid w:val="0021241F"/>
    <w:rsid w:val="0021311E"/>
    <w:rsid w:val="00222A13"/>
    <w:rsid w:val="002256E9"/>
    <w:rsid w:val="002262E5"/>
    <w:rsid w:val="00226E0D"/>
    <w:rsid w:val="002328C3"/>
    <w:rsid w:val="0024006A"/>
    <w:rsid w:val="0024738D"/>
    <w:rsid w:val="00252AD6"/>
    <w:rsid w:val="00256051"/>
    <w:rsid w:val="002560E5"/>
    <w:rsid w:val="00256A41"/>
    <w:rsid w:val="002602B6"/>
    <w:rsid w:val="002647AE"/>
    <w:rsid w:val="00273724"/>
    <w:rsid w:val="00276B65"/>
    <w:rsid w:val="00277C7E"/>
    <w:rsid w:val="002805E7"/>
    <w:rsid w:val="0028088A"/>
    <w:rsid w:val="00281F11"/>
    <w:rsid w:val="002834BD"/>
    <w:rsid w:val="00283787"/>
    <w:rsid w:val="00285B03"/>
    <w:rsid w:val="00294362"/>
    <w:rsid w:val="002958D9"/>
    <w:rsid w:val="00295903"/>
    <w:rsid w:val="002B57EB"/>
    <w:rsid w:val="002C085B"/>
    <w:rsid w:val="002C09D5"/>
    <w:rsid w:val="002D13E1"/>
    <w:rsid w:val="002D5AC8"/>
    <w:rsid w:val="002E0738"/>
    <w:rsid w:val="002E6829"/>
    <w:rsid w:val="002E7065"/>
    <w:rsid w:val="002E7116"/>
    <w:rsid w:val="002F2C25"/>
    <w:rsid w:val="003026F9"/>
    <w:rsid w:val="00303AFA"/>
    <w:rsid w:val="003047CF"/>
    <w:rsid w:val="00317BEF"/>
    <w:rsid w:val="00331406"/>
    <w:rsid w:val="00334DAF"/>
    <w:rsid w:val="00335416"/>
    <w:rsid w:val="003371D6"/>
    <w:rsid w:val="00341AEA"/>
    <w:rsid w:val="003476C2"/>
    <w:rsid w:val="00361289"/>
    <w:rsid w:val="00364F59"/>
    <w:rsid w:val="00372538"/>
    <w:rsid w:val="0039499F"/>
    <w:rsid w:val="00394F0C"/>
    <w:rsid w:val="00395342"/>
    <w:rsid w:val="003961D9"/>
    <w:rsid w:val="003A4D63"/>
    <w:rsid w:val="003A6F57"/>
    <w:rsid w:val="003B0293"/>
    <w:rsid w:val="003B2D89"/>
    <w:rsid w:val="003B4964"/>
    <w:rsid w:val="003B661C"/>
    <w:rsid w:val="003B77BD"/>
    <w:rsid w:val="003C153E"/>
    <w:rsid w:val="003C1C5B"/>
    <w:rsid w:val="003D5D59"/>
    <w:rsid w:val="003E0A25"/>
    <w:rsid w:val="003E2F8D"/>
    <w:rsid w:val="003F2605"/>
    <w:rsid w:val="003F4E67"/>
    <w:rsid w:val="003F76F1"/>
    <w:rsid w:val="004049C6"/>
    <w:rsid w:val="00410AE9"/>
    <w:rsid w:val="00412D9F"/>
    <w:rsid w:val="00415840"/>
    <w:rsid w:val="00420D7C"/>
    <w:rsid w:val="00426D78"/>
    <w:rsid w:val="00427696"/>
    <w:rsid w:val="00427AE1"/>
    <w:rsid w:val="004522EF"/>
    <w:rsid w:val="00452685"/>
    <w:rsid w:val="004538D2"/>
    <w:rsid w:val="004560FA"/>
    <w:rsid w:val="0045634A"/>
    <w:rsid w:val="00460395"/>
    <w:rsid w:val="00473228"/>
    <w:rsid w:val="0047385A"/>
    <w:rsid w:val="0048043B"/>
    <w:rsid w:val="00485751"/>
    <w:rsid w:val="0048671C"/>
    <w:rsid w:val="00487778"/>
    <w:rsid w:val="00487983"/>
    <w:rsid w:val="004A2A80"/>
    <w:rsid w:val="004A2AC3"/>
    <w:rsid w:val="004A30C6"/>
    <w:rsid w:val="004A63EC"/>
    <w:rsid w:val="004B3912"/>
    <w:rsid w:val="004C441A"/>
    <w:rsid w:val="004C4965"/>
    <w:rsid w:val="004C508D"/>
    <w:rsid w:val="004D0C97"/>
    <w:rsid w:val="004D1C2D"/>
    <w:rsid w:val="004D38F2"/>
    <w:rsid w:val="004D3FB0"/>
    <w:rsid w:val="004D4356"/>
    <w:rsid w:val="004D4E05"/>
    <w:rsid w:val="004D7A73"/>
    <w:rsid w:val="004E1624"/>
    <w:rsid w:val="004E4234"/>
    <w:rsid w:val="004F0F99"/>
    <w:rsid w:val="004F1605"/>
    <w:rsid w:val="004F1786"/>
    <w:rsid w:val="004F1DE1"/>
    <w:rsid w:val="00505255"/>
    <w:rsid w:val="00505DBD"/>
    <w:rsid w:val="005079D8"/>
    <w:rsid w:val="00512199"/>
    <w:rsid w:val="00514351"/>
    <w:rsid w:val="00517954"/>
    <w:rsid w:val="005213EF"/>
    <w:rsid w:val="00522ABB"/>
    <w:rsid w:val="00522F21"/>
    <w:rsid w:val="005317C2"/>
    <w:rsid w:val="00534AE1"/>
    <w:rsid w:val="00534B6A"/>
    <w:rsid w:val="005410AC"/>
    <w:rsid w:val="00547555"/>
    <w:rsid w:val="005517C3"/>
    <w:rsid w:val="00560BDF"/>
    <w:rsid w:val="00563893"/>
    <w:rsid w:val="00566195"/>
    <w:rsid w:val="00566320"/>
    <w:rsid w:val="00570C64"/>
    <w:rsid w:val="00572F52"/>
    <w:rsid w:val="00573B3F"/>
    <w:rsid w:val="00573D82"/>
    <w:rsid w:val="00576165"/>
    <w:rsid w:val="005830C8"/>
    <w:rsid w:val="005838D0"/>
    <w:rsid w:val="00591999"/>
    <w:rsid w:val="005924BA"/>
    <w:rsid w:val="0059262C"/>
    <w:rsid w:val="005962D1"/>
    <w:rsid w:val="005A105C"/>
    <w:rsid w:val="005A10DF"/>
    <w:rsid w:val="005A4A96"/>
    <w:rsid w:val="005A53D9"/>
    <w:rsid w:val="005B4D0D"/>
    <w:rsid w:val="005C7927"/>
    <w:rsid w:val="005D07FA"/>
    <w:rsid w:val="005D5096"/>
    <w:rsid w:val="005D5368"/>
    <w:rsid w:val="005D6801"/>
    <w:rsid w:val="005E09D0"/>
    <w:rsid w:val="005E746C"/>
    <w:rsid w:val="005F0003"/>
    <w:rsid w:val="005F1A6C"/>
    <w:rsid w:val="005F3ACD"/>
    <w:rsid w:val="005F599D"/>
    <w:rsid w:val="0060191B"/>
    <w:rsid w:val="00612167"/>
    <w:rsid w:val="00622E76"/>
    <w:rsid w:val="00623501"/>
    <w:rsid w:val="00630E63"/>
    <w:rsid w:val="00636B5C"/>
    <w:rsid w:val="00637327"/>
    <w:rsid w:val="0064216F"/>
    <w:rsid w:val="00643C20"/>
    <w:rsid w:val="0065215A"/>
    <w:rsid w:val="006567BD"/>
    <w:rsid w:val="00664EDF"/>
    <w:rsid w:val="0066618A"/>
    <w:rsid w:val="006679EC"/>
    <w:rsid w:val="00667E85"/>
    <w:rsid w:val="00670F28"/>
    <w:rsid w:val="006749D7"/>
    <w:rsid w:val="00691827"/>
    <w:rsid w:val="0069518F"/>
    <w:rsid w:val="006A1B52"/>
    <w:rsid w:val="006A3EAC"/>
    <w:rsid w:val="006A6C64"/>
    <w:rsid w:val="006B3BD0"/>
    <w:rsid w:val="006B628E"/>
    <w:rsid w:val="006C26D0"/>
    <w:rsid w:val="006C3457"/>
    <w:rsid w:val="006C6E0D"/>
    <w:rsid w:val="006D1D9F"/>
    <w:rsid w:val="006D3398"/>
    <w:rsid w:val="006D48E4"/>
    <w:rsid w:val="006D58DF"/>
    <w:rsid w:val="006E1DCD"/>
    <w:rsid w:val="006E3312"/>
    <w:rsid w:val="006E3C3A"/>
    <w:rsid w:val="006F3E33"/>
    <w:rsid w:val="00702B0B"/>
    <w:rsid w:val="00705B3B"/>
    <w:rsid w:val="0071534E"/>
    <w:rsid w:val="00715D4A"/>
    <w:rsid w:val="00722977"/>
    <w:rsid w:val="007252AD"/>
    <w:rsid w:val="007269A2"/>
    <w:rsid w:val="00726BB0"/>
    <w:rsid w:val="00727521"/>
    <w:rsid w:val="00743467"/>
    <w:rsid w:val="007470A6"/>
    <w:rsid w:val="00747A0B"/>
    <w:rsid w:val="00755446"/>
    <w:rsid w:val="00755452"/>
    <w:rsid w:val="00757FBA"/>
    <w:rsid w:val="007664EA"/>
    <w:rsid w:val="00767E9A"/>
    <w:rsid w:val="00774A49"/>
    <w:rsid w:val="00781BB2"/>
    <w:rsid w:val="00781DC9"/>
    <w:rsid w:val="00792592"/>
    <w:rsid w:val="00796C48"/>
    <w:rsid w:val="007A221E"/>
    <w:rsid w:val="007A3FC9"/>
    <w:rsid w:val="007A5212"/>
    <w:rsid w:val="007B578B"/>
    <w:rsid w:val="007C13FD"/>
    <w:rsid w:val="007C2907"/>
    <w:rsid w:val="007C5B08"/>
    <w:rsid w:val="007D763E"/>
    <w:rsid w:val="007E09A6"/>
    <w:rsid w:val="007F3353"/>
    <w:rsid w:val="007F361F"/>
    <w:rsid w:val="007F3D00"/>
    <w:rsid w:val="008003D6"/>
    <w:rsid w:val="008042DC"/>
    <w:rsid w:val="008060D0"/>
    <w:rsid w:val="00815798"/>
    <w:rsid w:val="00815DAF"/>
    <w:rsid w:val="0082194B"/>
    <w:rsid w:val="00825CD2"/>
    <w:rsid w:val="00835395"/>
    <w:rsid w:val="00835B0D"/>
    <w:rsid w:val="00836387"/>
    <w:rsid w:val="00840C16"/>
    <w:rsid w:val="008414DC"/>
    <w:rsid w:val="00842625"/>
    <w:rsid w:val="0084413B"/>
    <w:rsid w:val="0084539D"/>
    <w:rsid w:val="008456C3"/>
    <w:rsid w:val="0085185B"/>
    <w:rsid w:val="00854048"/>
    <w:rsid w:val="008565AA"/>
    <w:rsid w:val="00864832"/>
    <w:rsid w:val="00867440"/>
    <w:rsid w:val="008702B7"/>
    <w:rsid w:val="00874FD5"/>
    <w:rsid w:val="00876C0C"/>
    <w:rsid w:val="008917E7"/>
    <w:rsid w:val="00892C6B"/>
    <w:rsid w:val="00895DA3"/>
    <w:rsid w:val="00897575"/>
    <w:rsid w:val="008A0EA6"/>
    <w:rsid w:val="008A4B81"/>
    <w:rsid w:val="008A64B8"/>
    <w:rsid w:val="008B2A58"/>
    <w:rsid w:val="008B3763"/>
    <w:rsid w:val="008B3F79"/>
    <w:rsid w:val="008C393D"/>
    <w:rsid w:val="008C5934"/>
    <w:rsid w:val="008D298B"/>
    <w:rsid w:val="008D3743"/>
    <w:rsid w:val="008E52B9"/>
    <w:rsid w:val="008F2AAA"/>
    <w:rsid w:val="008F34F0"/>
    <w:rsid w:val="008F4BCB"/>
    <w:rsid w:val="008F6924"/>
    <w:rsid w:val="00900967"/>
    <w:rsid w:val="009025C4"/>
    <w:rsid w:val="00903E21"/>
    <w:rsid w:val="009048CD"/>
    <w:rsid w:val="0090494C"/>
    <w:rsid w:val="009058B0"/>
    <w:rsid w:val="00910160"/>
    <w:rsid w:val="00915481"/>
    <w:rsid w:val="00921DD6"/>
    <w:rsid w:val="00934745"/>
    <w:rsid w:val="009453F3"/>
    <w:rsid w:val="009464E8"/>
    <w:rsid w:val="00950B38"/>
    <w:rsid w:val="00954E7B"/>
    <w:rsid w:val="0095705C"/>
    <w:rsid w:val="0096439B"/>
    <w:rsid w:val="009675E7"/>
    <w:rsid w:val="009719FF"/>
    <w:rsid w:val="00975D5E"/>
    <w:rsid w:val="00976BBE"/>
    <w:rsid w:val="00980647"/>
    <w:rsid w:val="009854FA"/>
    <w:rsid w:val="00985A96"/>
    <w:rsid w:val="00993D19"/>
    <w:rsid w:val="009964A6"/>
    <w:rsid w:val="009A2E6E"/>
    <w:rsid w:val="009B0074"/>
    <w:rsid w:val="009B4732"/>
    <w:rsid w:val="009B4CD2"/>
    <w:rsid w:val="009B5D4D"/>
    <w:rsid w:val="009C1F1E"/>
    <w:rsid w:val="009C53C5"/>
    <w:rsid w:val="009C5A8D"/>
    <w:rsid w:val="009E154D"/>
    <w:rsid w:val="009E26C0"/>
    <w:rsid w:val="009E29AE"/>
    <w:rsid w:val="009E3F52"/>
    <w:rsid w:val="009E58ED"/>
    <w:rsid w:val="009E661A"/>
    <w:rsid w:val="009F2069"/>
    <w:rsid w:val="009F2383"/>
    <w:rsid w:val="009F71FC"/>
    <w:rsid w:val="00A0120B"/>
    <w:rsid w:val="00A01E6A"/>
    <w:rsid w:val="00A0269A"/>
    <w:rsid w:val="00A03E78"/>
    <w:rsid w:val="00A0700F"/>
    <w:rsid w:val="00A102D0"/>
    <w:rsid w:val="00A138BF"/>
    <w:rsid w:val="00A2152B"/>
    <w:rsid w:val="00A26112"/>
    <w:rsid w:val="00A26D92"/>
    <w:rsid w:val="00A33067"/>
    <w:rsid w:val="00A426A6"/>
    <w:rsid w:val="00A52C4B"/>
    <w:rsid w:val="00A575E2"/>
    <w:rsid w:val="00A61017"/>
    <w:rsid w:val="00A616D9"/>
    <w:rsid w:val="00A71AC9"/>
    <w:rsid w:val="00A76E64"/>
    <w:rsid w:val="00A805A7"/>
    <w:rsid w:val="00A8426C"/>
    <w:rsid w:val="00A92635"/>
    <w:rsid w:val="00AA441E"/>
    <w:rsid w:val="00AB01E8"/>
    <w:rsid w:val="00AB2370"/>
    <w:rsid w:val="00AB70F7"/>
    <w:rsid w:val="00AC1DEC"/>
    <w:rsid w:val="00AC6005"/>
    <w:rsid w:val="00AC6DD7"/>
    <w:rsid w:val="00AD0825"/>
    <w:rsid w:val="00AD4829"/>
    <w:rsid w:val="00AE3209"/>
    <w:rsid w:val="00AE6421"/>
    <w:rsid w:val="00AE6CB3"/>
    <w:rsid w:val="00AE77D6"/>
    <w:rsid w:val="00AE7D6B"/>
    <w:rsid w:val="00AF52F3"/>
    <w:rsid w:val="00AF5AAD"/>
    <w:rsid w:val="00B03528"/>
    <w:rsid w:val="00B0428C"/>
    <w:rsid w:val="00B0706B"/>
    <w:rsid w:val="00B07731"/>
    <w:rsid w:val="00B11334"/>
    <w:rsid w:val="00B14C28"/>
    <w:rsid w:val="00B1510A"/>
    <w:rsid w:val="00B2167E"/>
    <w:rsid w:val="00B227C7"/>
    <w:rsid w:val="00B23C50"/>
    <w:rsid w:val="00B36434"/>
    <w:rsid w:val="00B45A6F"/>
    <w:rsid w:val="00B56090"/>
    <w:rsid w:val="00B60A2F"/>
    <w:rsid w:val="00B63BD9"/>
    <w:rsid w:val="00B84EAD"/>
    <w:rsid w:val="00B862A3"/>
    <w:rsid w:val="00B9625A"/>
    <w:rsid w:val="00B97044"/>
    <w:rsid w:val="00BA082D"/>
    <w:rsid w:val="00BA0998"/>
    <w:rsid w:val="00BA26B5"/>
    <w:rsid w:val="00BA578E"/>
    <w:rsid w:val="00BA600F"/>
    <w:rsid w:val="00BB1FA2"/>
    <w:rsid w:val="00BB2F74"/>
    <w:rsid w:val="00BB5541"/>
    <w:rsid w:val="00BC3423"/>
    <w:rsid w:val="00BC4C61"/>
    <w:rsid w:val="00BC6883"/>
    <w:rsid w:val="00BD1505"/>
    <w:rsid w:val="00BD7755"/>
    <w:rsid w:val="00BD7FDA"/>
    <w:rsid w:val="00BE1A6B"/>
    <w:rsid w:val="00BE1F44"/>
    <w:rsid w:val="00BE4FCB"/>
    <w:rsid w:val="00BE53BA"/>
    <w:rsid w:val="00BE6DB5"/>
    <w:rsid w:val="00BF46FF"/>
    <w:rsid w:val="00C02934"/>
    <w:rsid w:val="00C02CB6"/>
    <w:rsid w:val="00C051B1"/>
    <w:rsid w:val="00C1705C"/>
    <w:rsid w:val="00C21FD2"/>
    <w:rsid w:val="00C22102"/>
    <w:rsid w:val="00C221FE"/>
    <w:rsid w:val="00C22C80"/>
    <w:rsid w:val="00C2750F"/>
    <w:rsid w:val="00C27A42"/>
    <w:rsid w:val="00C33BC7"/>
    <w:rsid w:val="00C33EB6"/>
    <w:rsid w:val="00C41CC2"/>
    <w:rsid w:val="00C42073"/>
    <w:rsid w:val="00C46093"/>
    <w:rsid w:val="00C531E5"/>
    <w:rsid w:val="00C53FDB"/>
    <w:rsid w:val="00C61A14"/>
    <w:rsid w:val="00C70280"/>
    <w:rsid w:val="00C70EEE"/>
    <w:rsid w:val="00C74A91"/>
    <w:rsid w:val="00C75794"/>
    <w:rsid w:val="00C76C44"/>
    <w:rsid w:val="00C8039A"/>
    <w:rsid w:val="00C929D4"/>
    <w:rsid w:val="00CA4186"/>
    <w:rsid w:val="00CA61C0"/>
    <w:rsid w:val="00CA6E6F"/>
    <w:rsid w:val="00CB474E"/>
    <w:rsid w:val="00CB7EA1"/>
    <w:rsid w:val="00CC2B0F"/>
    <w:rsid w:val="00CC3999"/>
    <w:rsid w:val="00CC596A"/>
    <w:rsid w:val="00CD2D84"/>
    <w:rsid w:val="00CD52A6"/>
    <w:rsid w:val="00CE5CF0"/>
    <w:rsid w:val="00CF0D29"/>
    <w:rsid w:val="00CF18A0"/>
    <w:rsid w:val="00CF31F4"/>
    <w:rsid w:val="00D0116A"/>
    <w:rsid w:val="00D028BB"/>
    <w:rsid w:val="00D02979"/>
    <w:rsid w:val="00D033C8"/>
    <w:rsid w:val="00D07C3A"/>
    <w:rsid w:val="00D14B21"/>
    <w:rsid w:val="00D1614F"/>
    <w:rsid w:val="00D169BD"/>
    <w:rsid w:val="00D209B0"/>
    <w:rsid w:val="00D25A81"/>
    <w:rsid w:val="00D27469"/>
    <w:rsid w:val="00D27565"/>
    <w:rsid w:val="00D27D30"/>
    <w:rsid w:val="00D3440D"/>
    <w:rsid w:val="00D44A41"/>
    <w:rsid w:val="00D45AB9"/>
    <w:rsid w:val="00D46A94"/>
    <w:rsid w:val="00D5041B"/>
    <w:rsid w:val="00D512A2"/>
    <w:rsid w:val="00D53403"/>
    <w:rsid w:val="00D53DD0"/>
    <w:rsid w:val="00D53E8B"/>
    <w:rsid w:val="00D61BCA"/>
    <w:rsid w:val="00D657E7"/>
    <w:rsid w:val="00D65DEA"/>
    <w:rsid w:val="00D70EC2"/>
    <w:rsid w:val="00D71D05"/>
    <w:rsid w:val="00D74870"/>
    <w:rsid w:val="00D75605"/>
    <w:rsid w:val="00D76281"/>
    <w:rsid w:val="00D7723B"/>
    <w:rsid w:val="00D80BDA"/>
    <w:rsid w:val="00D83FD1"/>
    <w:rsid w:val="00D86ADB"/>
    <w:rsid w:val="00D933FF"/>
    <w:rsid w:val="00D95FF2"/>
    <w:rsid w:val="00D97354"/>
    <w:rsid w:val="00DA17A7"/>
    <w:rsid w:val="00DA393F"/>
    <w:rsid w:val="00DB4A18"/>
    <w:rsid w:val="00DC6D0E"/>
    <w:rsid w:val="00DD2E06"/>
    <w:rsid w:val="00DD38AA"/>
    <w:rsid w:val="00DE1332"/>
    <w:rsid w:val="00DE624F"/>
    <w:rsid w:val="00DF0158"/>
    <w:rsid w:val="00E01B45"/>
    <w:rsid w:val="00E0578F"/>
    <w:rsid w:val="00E153AC"/>
    <w:rsid w:val="00E15AF0"/>
    <w:rsid w:val="00E209E5"/>
    <w:rsid w:val="00E2142E"/>
    <w:rsid w:val="00E2172A"/>
    <w:rsid w:val="00E219CF"/>
    <w:rsid w:val="00E22DC5"/>
    <w:rsid w:val="00E2398C"/>
    <w:rsid w:val="00E253AE"/>
    <w:rsid w:val="00E265E9"/>
    <w:rsid w:val="00E42C36"/>
    <w:rsid w:val="00E43B27"/>
    <w:rsid w:val="00E44E0D"/>
    <w:rsid w:val="00E46DC2"/>
    <w:rsid w:val="00E46F0E"/>
    <w:rsid w:val="00E5405B"/>
    <w:rsid w:val="00E62CC5"/>
    <w:rsid w:val="00E63EFE"/>
    <w:rsid w:val="00E67BF1"/>
    <w:rsid w:val="00E707BC"/>
    <w:rsid w:val="00E73188"/>
    <w:rsid w:val="00E73A5D"/>
    <w:rsid w:val="00E82AF9"/>
    <w:rsid w:val="00E835F3"/>
    <w:rsid w:val="00E92040"/>
    <w:rsid w:val="00E93C1A"/>
    <w:rsid w:val="00EA0331"/>
    <w:rsid w:val="00EA0E48"/>
    <w:rsid w:val="00EA3005"/>
    <w:rsid w:val="00EB0730"/>
    <w:rsid w:val="00EC0A5A"/>
    <w:rsid w:val="00EC0BA6"/>
    <w:rsid w:val="00EC3660"/>
    <w:rsid w:val="00EC3F3C"/>
    <w:rsid w:val="00EC4EB6"/>
    <w:rsid w:val="00ED5C69"/>
    <w:rsid w:val="00EE16F1"/>
    <w:rsid w:val="00EE7EC7"/>
    <w:rsid w:val="00EF2286"/>
    <w:rsid w:val="00EF2804"/>
    <w:rsid w:val="00EF4144"/>
    <w:rsid w:val="00F00C53"/>
    <w:rsid w:val="00F123EC"/>
    <w:rsid w:val="00F136CD"/>
    <w:rsid w:val="00F14E93"/>
    <w:rsid w:val="00F15311"/>
    <w:rsid w:val="00F1789B"/>
    <w:rsid w:val="00F2136B"/>
    <w:rsid w:val="00F2443F"/>
    <w:rsid w:val="00F26B0E"/>
    <w:rsid w:val="00F34BE6"/>
    <w:rsid w:val="00F37919"/>
    <w:rsid w:val="00F44ACD"/>
    <w:rsid w:val="00F47D28"/>
    <w:rsid w:val="00F51F73"/>
    <w:rsid w:val="00F529AA"/>
    <w:rsid w:val="00F61D86"/>
    <w:rsid w:val="00F6300E"/>
    <w:rsid w:val="00F64DC7"/>
    <w:rsid w:val="00F658B7"/>
    <w:rsid w:val="00F66BE0"/>
    <w:rsid w:val="00F71D56"/>
    <w:rsid w:val="00F74315"/>
    <w:rsid w:val="00F74CB3"/>
    <w:rsid w:val="00F7661E"/>
    <w:rsid w:val="00F8039C"/>
    <w:rsid w:val="00F8057F"/>
    <w:rsid w:val="00F83923"/>
    <w:rsid w:val="00F83FC0"/>
    <w:rsid w:val="00F8676B"/>
    <w:rsid w:val="00F87643"/>
    <w:rsid w:val="00F93E59"/>
    <w:rsid w:val="00FA0CC6"/>
    <w:rsid w:val="00FA42C4"/>
    <w:rsid w:val="00FA4B7F"/>
    <w:rsid w:val="00FB15B3"/>
    <w:rsid w:val="00FB4842"/>
    <w:rsid w:val="00FB5649"/>
    <w:rsid w:val="00FB795B"/>
    <w:rsid w:val="00FC137F"/>
    <w:rsid w:val="00FC1E3F"/>
    <w:rsid w:val="00FC4449"/>
    <w:rsid w:val="00FC779C"/>
    <w:rsid w:val="00FD1331"/>
    <w:rsid w:val="00FD15C1"/>
    <w:rsid w:val="00FD5102"/>
    <w:rsid w:val="00FD5FB0"/>
    <w:rsid w:val="00FE2BEF"/>
    <w:rsid w:val="00FE35F9"/>
    <w:rsid w:val="00FE472D"/>
    <w:rsid w:val="00FE6D03"/>
    <w:rsid w:val="00FF13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B3BC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5A4C"/>
    <w:rPr>
      <w:u w:val="single"/>
    </w:rPr>
  </w:style>
  <w:style w:type="paragraph" w:customStyle="1" w:styleId="Body">
    <w:name w:val="Body"/>
    <w:rsid w:val="00105A4C"/>
    <w:pPr>
      <w:pBdr>
        <w:top w:val="nil"/>
        <w:left w:val="nil"/>
        <w:bottom w:val="nil"/>
        <w:right w:val="nil"/>
        <w:between w:val="nil"/>
        <w:bar w:val="nil"/>
      </w:pBdr>
    </w:pPr>
    <w:rPr>
      <w:rFonts w:ascii="Helvetica Neue" w:eastAsia="Arial Unicode MS" w:hAnsi="Helvetica Neue" w:cs="Arial Unicode MS"/>
      <w:color w:val="000000"/>
      <w:sz w:val="22"/>
      <w:szCs w:val="22"/>
      <w:bdr w:val="nil"/>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horwitzlab/V1-double-opponent-receptive-field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3090</Characters>
  <Application>Microsoft Macintosh Word</Application>
  <DocSecurity>0</DocSecurity>
  <Lines>25</Lines>
  <Paragraphs>7</Paragraphs>
  <ScaleCrop>false</ScaleCrop>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Horwitz</dc:creator>
  <cp:keywords/>
  <dc:description/>
  <cp:lastModifiedBy>Greg Horwitz</cp:lastModifiedBy>
  <cp:revision>1</cp:revision>
  <dcterms:created xsi:type="dcterms:W3CDTF">2020-09-14T21:19:00Z</dcterms:created>
  <dcterms:modified xsi:type="dcterms:W3CDTF">2020-09-14T21:19:00Z</dcterms:modified>
</cp:coreProperties>
</file>