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QRFL Complete Technical Report</w:t>
      </w:r>
    </w:p>
    <w:p>
      <w:pPr>
        <w:jc w:val="center"/>
      </w:pPr>
      <w:r>
        <w:rPr>
          <w:sz w:val="20"/>
        </w:rPr>
        <w:t>Threat-Timeline-Driven Quantum-Resistant Federated Learning</w:t>
        <w:br/>
        <w:t>for Blockchain-Enabled Healthcare Systems</w:t>
      </w:r>
    </w:p>
    <w:p>
      <w:pPr>
        <w:jc w:val="center"/>
      </w:pPr>
      <w:r>
        <w:rPr>
          <w:color w:val="444444"/>
          <w:sz w:val="16"/>
        </w:rPr>
        <w:t>Compact DOCX · All measured tables · All generated diagrams · Values · Analysis ·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5"/>
              </w:rPr>
              <w:t>Item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Corpus date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2026-09-03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FL scale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10 seeds × 50 rounds × 270 configs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PQC backend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quantcrypt-cffi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Determinism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passed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Planning trigger (bootstrap 95% lower)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2042.10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Artifacts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qrfl-artifacts/results/* · figures/output/* · docs/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sz w:val="18"/>
        </w:rPr>
        <w:t>QRFL integrates quantum-threat forecasting, NIST PQC benchmarking, healthcare FL (Classical / Hybrid / Native PQ), Hyperledger Fabric validation, and Mosca/MOSCoW migration planning. Tables and diagrams below are generated from measured CSVs.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5"/>
              </w:rPr>
              <w:t>Metric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5"/>
              </w:rPr>
              <w:t>Measured result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IID-25 accuracy (classical / hybrid / native)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65.3% / 65.3% / 65.3%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IID-25 AUROC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0.566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Native PQ FL latency overhead %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-0.53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HLF total latency classical → native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80.8 → 84.2 ms (~4%)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Forecast growth rate / doubling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0.3731 / 1.86 yr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Hold-out MAE / RMSE / MAPE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563.39 / 602.62 / 424.63%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FL determinism check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passed</w:t>
            </w:r>
          </w:p>
        </w:tc>
      </w:tr>
    </w:tbl>
    <w:p/>
    <w:p>
      <w:pPr>
        <w:pStyle w:val="Heading1"/>
      </w:pPr>
      <w:r>
        <w:t>2. Five-Layer Architecture</w:t>
      </w:r>
    </w:p>
    <w:p>
      <w:r>
        <w:rPr>
          <w:sz w:val="18"/>
        </w:rPr>
        <w:t>Lower layers constrain upper layers (crossing years → algorithm choice → FL/Fabric cost → roadmap).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Layer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Role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Primary measured outputs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L1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Forecasting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When to migrate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scenarios.csv, forecast_validation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L2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PQC / Crypto-Agility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What algorithms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pqc/summary.csv, ablation.tex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L3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Healthcare FL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Utility &amp; FL cost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fl/all_results.csv, fl_*.tex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L4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Blockchain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Ledger cost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ledger_latency.tex, docker_stats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L5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Migration Support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Roadmap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Mosca + MOSCoW (manuscript)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8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Layered Architecture of Quantum-Resistant Federated Learning in Blockchain-Enabled Healthcare Syste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2.1 — Layered QRFL system architecture (manuscript Fig.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it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2.2 — Modality / security-mode comparison diagram.</w:t>
      </w:r>
    </w:p>
    <w:p>
      <w:pPr>
        <w:pStyle w:val="Heading2"/>
      </w:pPr>
      <w:r>
        <w:t>2.1 Reproducibility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Produces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1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forecasting.run_all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fit/scenarios/validation CSVs + .tex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2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pqc_benchmarks.run_benchmarks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trials.csv, summary.csv, crypto + ablation .tex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3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federated_learning.run_experiment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all_results.csv (270), fl_*.tex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4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resource_profiling.run_profile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resource summary/trials + .tex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5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statistical_tests.run_all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fl_statistical_tests.csv + .tex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6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figures.generate_all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figures/output/*.png|pdf + layer_*.tex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7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capture_hardware.py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hardware_specs.json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Opt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blockchain stack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ledger_latency.tex, summary.csv, docker_stats.json</w:t>
            </w:r>
          </w:p>
        </w:tc>
      </w:tr>
    </w:tbl>
    <w:p/>
    <w:p>
      <w:pPr>
        <w:pStyle w:val="Heading2"/>
      </w:pPr>
      <w:r>
        <w:t>2.2 Protocol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Flow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Mechanism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Measured / design note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F1 Hybrid certs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ECDSA + ML-DSA X.509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~6.2× cert size vs classical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F2 Hybrid KEM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ML-KEM-768 ∥ ECDHE → HKDF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HNDL-safe if ML-KEM holds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F3 Masking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Pairwise modular masks Σ=0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Utility identical across modes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F4 Sign+endorse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ML-DSA-65 + Fabric 2-of-3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HLF sim +~4% total latency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F5 Revocation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DCRL + policy algo swap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Architectural (not timed)</w:t>
            </w:r>
          </w:p>
        </w:tc>
      </w:tr>
    </w:tbl>
    <w:p/>
    <w:p>
      <w:pPr>
        <w:pStyle w:val="Heading1"/>
      </w:pPr>
      <w:r>
        <w:t>3. Experiment A — PQC Micro-benchmarks (full table)</w:t>
      </w:r>
    </w:p>
    <w:p>
      <w:r>
        <w:rPr>
          <w:sz w:val="18"/>
        </w:rPr>
        <w:t>Backend: quantcrypt-cffi / PQClean; values from results/pqc/summary.csv (measured).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39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qc_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3.1 — Key classical vs PQC latencies.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qc_all_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3.2 — Full primitive set (SLH-DSA sign omitted for scale; see table).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qc_overhead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3.3 — Pipeline figure: pqc_overhead_results.png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Scheme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Op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Mean (ms)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SD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Median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P95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PK (B)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b/>
                <w:sz w:val="14"/>
              </w:rPr>
              <w:t>CT/Sig (B)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ECDSA-P256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71.00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ECDSA-P256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sign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71.00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ECDSA-P256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verify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0.085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0.086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0.087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71.00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ML-DSA-44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0.204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0.027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0.199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0.215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1312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2420.0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ML-DSA-44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sign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0.580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0.333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0.466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1.232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1312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2420.0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ML-DSA-44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verify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0.151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0.016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0.149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0.160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1312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2420.0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ML-DSA-65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0.313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0.311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0.334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1952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3309.0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ML-DSA-65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sign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0.850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0.502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0.715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1.820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1952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3309.0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ML-DSA-65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verify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0.245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0.019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0.241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0.260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1952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3309.0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ML-DSA-87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0.013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0.461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0.496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2592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4627.0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ML-DSA-87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sign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1.068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0.527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0.919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2.126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2592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4627.0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ML-DSA-87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verify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0.411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0.023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0.411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0.426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2592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4627.0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ML-KEM-1024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decapsulate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0.135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0.131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0.144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1568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1568.0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ML-KEM-1024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encapsulate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0.175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0.015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0.177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0.186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1568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1568.0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ML-KEM-1024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0.161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0.015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0.160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0.172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1568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1568.0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ML-KEM-512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decapsulate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0.057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800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768.0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ML-KEM-512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encapsulate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0.101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800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768.0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ML-KEM-512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800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768.0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ML-KEM-768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decapsulate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0.091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0.013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0.089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0.096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1184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1088.0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ML-KEM-768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encapsulate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0.128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0.128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0.137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1184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1088.0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ML-KEM-768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0.123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0.124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0.127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1184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1088.0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RSA-2048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58.09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36.56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50.36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116.7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256.0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RSA-2048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sign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0.718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0.113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0.699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0.754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256.0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RSA-2048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verify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0.029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0.032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256.0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SLH-DSA-SHAKE-256s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keygen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44.99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0.823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44.93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45.63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1334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29792.0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SLH-DSA-SHAKE-256s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sign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536.8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5.838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535.5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547.6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112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29792.0</w:t>
            </w:r>
          </w:p>
        </w:tc>
      </w:tr>
      <w:tr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SLH-DSA-SHAKE-256s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verify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1.108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0.074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1.107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1.189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10000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64</w:t>
            </w:r>
          </w:p>
        </w:tc>
        <w:tc>
          <w:tcPr>
            <w:tcW w:type="dxa" w:w="1184"/>
          </w:tcPr>
          <w:p>
            <w:pPr>
              <w:spacing w:after="0" w:before="0"/>
            </w:pPr>
            <w:r>
              <w:rPr>
                <w:sz w:val="14"/>
              </w:rPr>
              <w:t>29792.0</w:t>
            </w:r>
          </w:p>
        </w:tc>
      </w:tr>
    </w:tbl>
    <w:p/>
    <w:p>
      <w:pPr>
        <w:pStyle w:val="Heading2"/>
      </w:pPr>
      <w:r>
        <w:t>3.1 Experiment E — Parameter ablation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468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b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3.4 — Ablation: payload size vs encapsulate latency.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Profile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KEM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Signature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NIST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Encaps (ms)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Decaps (ms)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Payload (B)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5"/>
              </w:rPr>
              <w:t>Use case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Lightweight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ML-KEM-512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ML-DSA-44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1/2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0.098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0.056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3,988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IoMT sensors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Balanced (default)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ML-KEM-768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ML-DSA-65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3/3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0.128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0.091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5,581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Healthcare FL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High Assurance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ML-KEM-1024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ML-DSA-87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5/5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0.175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0.135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7,763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Archival/audit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Long-term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ML-KEM-1024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SLH-DSA-256s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5/1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0.175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0.135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32,928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5"/>
              </w:rPr>
              <w:t>30-yr retention</w:t>
            </w:r>
          </w:p>
        </w:tc>
      </w:tr>
    </w:tbl>
    <w:p/>
    <w:p>
      <w:pPr>
        <w:pStyle w:val="Heading1"/>
      </w:pPr>
      <w:r>
        <w:t>4. Experiments B / B-2 / D — Federated Learning</w:t>
      </w:r>
    </w:p>
    <w:p>
      <w:r>
        <w:rPr>
          <w:sz w:val="18"/>
        </w:rPr>
        <w:t>Dataset PneumoniaMNIST · 270 configs · seeds=10 · rounds=50. Tables computed from results/fl/all_results.csv (IID FedAvg, attack=none for scaling).</w:t>
      </w:r>
    </w:p>
    <w:p>
      <w:pPr>
        <w:pStyle w:val="Heading2"/>
      </w:pPr>
      <w:r>
        <w:t>4.1 FL round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Function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Effect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1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load_pneumoniamnist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Train/val/test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2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dirichlet_partition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Shards by α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3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train_local × 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5 epochs Adam / round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4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apply_attack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Optional Byzantine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5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apply_mask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Pairwise masks Σ=0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6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fedavg|median|krum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Aggregate CNN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7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crypto_round_overhead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KEM+sig × N from Exp A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8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evaluate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Acc, AUROC, F1, latency</w:t>
            </w:r>
          </w:p>
        </w:tc>
      </w:tr>
    </w:tbl>
    <w:p/>
    <w:p>
      <w:pPr>
        <w:pStyle w:val="Heading2"/>
      </w:pPr>
      <w:r>
        <w:t>4.2 IID client scaling — values +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39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l_latency_mo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4.1 — FL round latency by security mode (IID FedAvg).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39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l_accura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4.2 — Test accuracy vs client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_overhead_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4.3 — Pipeline figure: fl_overhead_results.png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Clients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AUROC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F1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Classical (s)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Hybrid (s)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Native (s)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Native Δ%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76.7%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0.712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0.834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16.70±0.18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16.73±0.18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16.73±0.18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+0.17%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77.8%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0.720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0.843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17.09±0.17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17.07±0.20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17.06±0.15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-0.15%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65.3%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0.566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0.767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19.06±0.28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19.01±0.29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18.96±0.27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-0.53%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50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45.4%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0.524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0.355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24.70±0.37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24.82±0.24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24.78±0.37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+0.34%</w:t>
            </w:r>
          </w:p>
        </w:tc>
      </w:tr>
    </w:tbl>
    <w:p/>
    <w:p>
      <w:pPr>
        <w:pStyle w:val="Heading2"/>
      </w:pPr>
      <w:r>
        <w:t>4.3 IID-25 medical / utility metrics (all modes)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Mode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AUROC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Sens.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Spec.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Precision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Recall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F1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65.34% ± 0.15%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0.5664 ± 0.0009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91.44%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21.84%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66.10%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91.44%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0.7673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Hybrid PQ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65.34% ± 0.15%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0.5664 ± 0.0009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91.44%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21.84%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66.10%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91.44%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0.7673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Native PQ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65.34% ± 0.15%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0.5664 ± 0.0009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91.44%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21.84%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66.10%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91.44%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0.7673</w:t>
            </w:r>
          </w:p>
        </w:tc>
      </w:tr>
    </w:tbl>
    <w:p/>
    <w:p>
      <w:r>
        <w:rPr>
          <w:sz w:val="18"/>
        </w:rPr>
        <w:t>Analysis: predictive metrics identical across modes (masking preserves utility). Latency differences are sub-percent and not significant after Holm (Section 5).</w:t>
      </w:r>
    </w:p>
    <w:p>
      <w:pPr>
        <w:pStyle w:val="Heading2"/>
      </w:pPr>
      <w:r>
        <w:t>4.4 Non-IID Dirichlet (25 clients, FedAvg, all modes pooled means)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α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Accuracy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F1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AUROC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Latency (s)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65.30%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0.767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0.566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19.18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0.5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65.42%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0.768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0.567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19.12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1.0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65.34%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0.767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0.566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19.01</w:t>
            </w:r>
          </w:p>
        </w:tc>
      </w:tr>
    </w:tbl>
    <w:p/>
    <w:p>
      <w:pPr>
        <w:pStyle w:val="Heading3"/>
      </w:pPr>
      <w:r>
        <w:t>4.4.1 Non-IID by security mode (values)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4"/>
              </w:rPr>
              <w:t>α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4"/>
              </w:rPr>
              <w:t>Mode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4"/>
              </w:rPr>
              <w:t>Latency mean (s)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4"/>
              </w:rPr>
              <w:t>Latency SD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65.30%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19.160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0.271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65.30%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19.181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0.237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65.30%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19.193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0.261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0.5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65.42%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19.117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0.272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0.5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65.42%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19.121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0.247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0.5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65.42%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19.125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0.223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1.0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65.34%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19.063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0.276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1.0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65.34%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19.012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0.287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1.0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65.34%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18.961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4"/>
              </w:rPr>
              <w:t>0.271</w:t>
            </w:r>
          </w:p>
        </w:tc>
      </w:tr>
    </w:tbl>
    <w:p/>
    <w:p>
      <w:pPr>
        <w:pStyle w:val="Heading2"/>
      </w:pPr>
      <w:r>
        <w:t>4.5 Experiment D — Byzantine robustness (full table)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6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yzant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4.4 — Byzantine / aggregator accuracy (native PQ).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Attack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Mal 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Agg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AUROC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F1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b/>
                <w:sz w:val="14"/>
              </w:rPr>
              <w:t>Latency (s)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label_flip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fedavg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37.45%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0.4512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0.1867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19.01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label_flip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krum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18.53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label_flip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median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18.43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label_flip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fedavg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41.15%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0.5079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0.1590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19.01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label_flip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krum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18.56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label_flip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median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18.39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none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fedavg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65.35%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0.5666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0.7674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19.09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none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krum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18.52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none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median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18.39</w:t>
            </w:r>
          </w:p>
        </w:tc>
      </w:tr>
      <w:tr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sign_flip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20%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krum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37.50%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0.5000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0.0000</w:t>
            </w:r>
          </w:p>
        </w:tc>
        <w:tc>
          <w:tcPr>
            <w:tcW w:type="dxa" w:w="1331"/>
          </w:tcPr>
          <w:p>
            <w:pPr>
              <w:spacing w:after="0" w:before="0"/>
            </w:pPr>
            <w:r>
              <w:rPr>
                <w:sz w:val="14"/>
              </w:rPr>
              <w:t>18.52</w:t>
            </w:r>
          </w:p>
        </w:tc>
      </w:tr>
    </w:tbl>
    <w:p/>
    <w:p>
      <w:r>
        <w:rPr>
          <w:sz w:val="18"/>
        </w:rPr>
        <w:t>Analysis: label-flip collapses FedAvg utility; Median/Krum stay near ~37.5% on this imbalanced task and need further tuning. PQ crypto tax remains secondary to training/aggregation.</w:t>
      </w:r>
    </w:p>
    <w:p>
      <w:pPr>
        <w:pStyle w:val="Heading1"/>
      </w:pPr>
      <w:r>
        <w:t>5. Statistical Outcomes (full measured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Mode A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Mode 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Test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p / equiv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Holm sig?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Interpretation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tost equivalence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equiv=True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equivalent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tost equivalence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equiv=True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equivalent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tost equivalence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equiv=True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equivalent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f1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tost equivalence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equiv=True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equivalent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f1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tost equivalence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equiv=True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equivalent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f1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tost equivalence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equiv=True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equivalent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mean_round_latency_s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paired t test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p=0.5966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not_significant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mean_round_latency_s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classical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paired t test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p=0.2861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not_significant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mean_round_latency_s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hybrid_pq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native_pq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wilcoxon signed rank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p=0.9219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not_significant</w:t>
            </w:r>
          </w:p>
        </w:tc>
      </w:tr>
    </w:tbl>
    <w:p/>
    <w:p>
      <w:r>
        <w:rPr>
          <w:sz w:val="18"/>
        </w:rPr>
        <w:t>Setting: IID α=1.0, 25 clients, FedAvg, attack=none; Holm-corrected α=0.05.</w:t>
      </w:r>
    </w:p>
    <w:p>
      <w:pPr>
        <w:pStyle w:val="Heading1"/>
      </w:pPr>
      <w:r>
        <w:t>6. Experiment C — Blockchain (HLF)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394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lf_ph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6.1 — Calibrated HLF phase stack.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039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f_phase_latenc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6.2 — Pipeline figure: hlf_phase_latencies.png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07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c_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6.3 — Client submit-path mean latency (±SD).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Phase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Classical (ms)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Hybrid (ms)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Native PQ (ms)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Endorsement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25.4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28.4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28.3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Ordering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40.2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40.2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40.2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Validation / commit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15.3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16.0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15.7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80.8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84.6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84.2</w:t>
            </w:r>
          </w:p>
        </w:tc>
      </w:tr>
    </w:tbl>
    <w:p/>
    <w:p>
      <w:pPr>
        <w:pStyle w:val="Heading2"/>
      </w:pPr>
      <w:r>
        <w:t>6.1 Blockchain summary.csv (measured)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Config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Mean latency (ms)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SD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Throughput TPS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Mean payload (B)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classical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83.22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1.634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100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576.0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hybrid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87.10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1.711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100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10245.0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native_pq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86.73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1.703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100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9927.0</w:t>
            </w:r>
          </w:p>
        </w:tc>
      </w:tr>
    </w:tbl>
    <w:p/>
    <w:p>
      <w:pPr>
        <w:pStyle w:val="Heading2"/>
      </w:pPr>
      <w:r>
        <w:t>6.2 Live Docker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Name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CPU 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Mem usage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Mem 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Net I/O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Block I/O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b/>
                <w:sz w:val="14"/>
              </w:rPr>
              <w:t>PIDs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peer0.hospitala.example.com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2.42%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18.57MiB / 23.3GiB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0.08%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7.23kB / 4.62kB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45MB / 152kB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peer0.hospitalb.example.com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2.51%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22.6MiB / 23.3GiB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0.09%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1.44kB / 126B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4.21MB / 156kB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15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peer0.research.example.com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2.44%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17.6MiB / 23.3GiB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0.07%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1.4kB / 126B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139kB / 156kB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orderer.example.com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0.03%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13.34MiB / 23.3GiB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0.06%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1.68kB / 126B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7.61MB / 20.5kB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couchdb-hospitala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0.26%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77.7MiB / 23.3GiB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0.33%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6.17kB / 5.87kB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18.4MB / 205kB</w:t>
            </w:r>
          </w:p>
        </w:tc>
        <w:tc>
          <w:tcPr>
            <w:tcW w:type="dxa" w:w="1522"/>
          </w:tcPr>
          <w:p>
            <w:pPr>
              <w:spacing w:after="0" w:before="0"/>
            </w:pPr>
            <w:r>
              <w:rPr>
                <w:sz w:val="14"/>
              </w:rPr>
              <w:t>66</w:t>
            </w:r>
          </w:p>
        </w:tc>
      </w:tr>
    </w:tbl>
    <w:p/>
    <w:p>
      <w:r>
        <w:rPr>
          <w:sz w:val="18"/>
        </w:rPr>
        <w:t>MSP remains ECDSA; ML-DSA applies at application/chaincode payload layer (Go chaincode deploy deferred).</w:t>
      </w:r>
    </w:p>
    <w:p>
      <w:pPr>
        <w:pStyle w:val="Heading1"/>
      </w:pPr>
      <w:r>
        <w:t>7. Forecasting &amp; Validation (values +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ing_model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— Pipeline: forecasting_model_comparison.png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crossing_uncertain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— Pipeline: threshold_crossing_uncertainty.png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analys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— Pipeline: sensitivity_analysis.png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3236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enari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2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7.4 — Scenario crossing years with 95% bootstrap CI (from scenarios.csv).</w:t>
      </w:r>
    </w:p>
    <w:p>
      <w:pPr>
        <w:pStyle w:val="Heading2"/>
      </w:pPr>
      <w:r>
        <w:t>7.1 Fit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intercept_ln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2.359532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intercept_a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10.59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growth_rate_b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0.373095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doubling_time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1.857828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r_squared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0.530790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adj_r_squared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0.504723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20.00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ci_intercept_ln_lower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2.277610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ci_intercept_ln_upper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2.441455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ci_growth_lower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0.199389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ci_growth_upper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0.546802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logistic_L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1.38825e+07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logistic_k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2.808957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logistic_t0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13.22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logistic_rmse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408.1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logistic_aic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246.5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bootstrap_median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2050.2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bootstrap_ci_lower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2042.1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bootstrap_ci_upper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2069.6</w:t>
            </w:r>
          </w:p>
        </w:tc>
      </w:tr>
    </w:tbl>
    <w:p/>
    <w:p>
      <w:pPr>
        <w:pStyle w:val="Heading2"/>
      </w:pPr>
      <w:r>
        <w:t>7.2 Scenarios (full)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775"/>
          </w:tcPr>
          <w:p>
            <w:pPr>
              <w:spacing w:after="0" w:before="0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b/>
                <w:sz w:val="15"/>
              </w:rPr>
              <w:t>η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b/>
                <w:sz w:val="15"/>
              </w:rPr>
              <w:t>Point year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b/>
                <w:sz w:val="15"/>
              </w:rPr>
              <w:t>Boot. median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b/>
                <w:sz w:val="15"/>
              </w:rPr>
              <w:t>CI lower 95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b/>
                <w:sz w:val="15"/>
              </w:rPr>
              <w:t>CI upper 95</w:t>
            </w:r>
          </w:p>
        </w:tc>
      </w:tr>
      <w:tr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optimistic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1000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2049.0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2049.1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2041.3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2067.8</w:t>
            </w:r>
          </w:p>
        </w:tc>
      </w:tr>
      <w:tr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baseline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1500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2050.1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2050.2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2042.1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2069.6</w:t>
            </w:r>
          </w:p>
        </w:tc>
      </w:tr>
      <w:tr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conservative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3000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2051.9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2052.1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2043.5</w:t>
            </w:r>
          </w:p>
        </w:tc>
        <w:tc>
          <w:tcPr>
            <w:tcW w:type="dxa" w:w="1775"/>
          </w:tcPr>
          <w:p>
            <w:pPr>
              <w:spacing w:after="0" w:before="0"/>
            </w:pPr>
            <w:r>
              <w:rPr>
                <w:sz w:val="15"/>
              </w:rPr>
              <w:t>2072.7</w:t>
            </w:r>
          </w:p>
        </w:tc>
      </w:tr>
    </w:tbl>
    <w:p/>
    <w:p>
      <w:pPr>
        <w:pStyle w:val="Heading2"/>
      </w:pPr>
      <w:r>
        <w:t>7.3 Backtest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Strategy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MAE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RMSE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b/>
                <w:sz w:val="15"/>
              </w:rPr>
              <w:t>MAPE (%)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Hold-out 2024–2026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563.4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602.6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424.6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Rolling-origin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600.5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768.9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311.4</w:t>
            </w:r>
          </w:p>
        </w:tc>
      </w:tr>
      <w:tr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Leave-one-out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316.2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544.7</w:t>
            </w:r>
          </w:p>
        </w:tc>
        <w:tc>
          <w:tcPr>
            <w:tcW w:type="dxa" w:w="2663"/>
          </w:tcPr>
          <w:p>
            <w:pPr>
              <w:spacing w:after="0" w:before="0"/>
            </w:pPr>
            <w:r>
              <w:rPr>
                <w:sz w:val="15"/>
              </w:rPr>
              <w:t>151.4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5"/>
              </w:rPr>
              <w:t>Residual diagnostic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residual_mean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-0.000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residual_std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1.1580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Shapiro–Wilk p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0.3948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Durbin–Watson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1.796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Ljung–Box p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5"/>
              </w:rPr>
              <w:t>0.8377</w:t>
            </w:r>
          </w:p>
        </w:tc>
      </w:tr>
    </w:tbl>
    <w:p/>
    <w:p>
      <w:r>
        <w:rPr>
          <w:sz w:val="18"/>
        </w:rPr>
        <w:t>Analysis: high MAPE reflects sparse hardware jumps. Risk-management trigger uses bootstrap 95% lower bound ≈ 2042.10 (baseline η).</w:t>
      </w:r>
    </w:p>
    <w:p>
      <w:pPr>
        <w:pStyle w:val="Heading1"/>
      </w:pPr>
      <w:r>
        <w:t>8. Experiment F — Resource Profiling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3236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sour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2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i/>
          <w:color w:val="555555"/>
          <w:sz w:val="15"/>
        </w:rPr>
        <w:t>Figure 8.1 — API-level latency and peak RSS.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Mean latency (ms)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SD (ms)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Peak RSS (MB)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b/>
                <w:sz w:val="15"/>
              </w:rPr>
              <w:t>Energy (J)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ML-DSA-65_sign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5.187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1.258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76.20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ML-DSA-65_verify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2.338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0.467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76.34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ML-KEM-768_decaps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2.701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0.456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74.13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ML-KEM-768_encaps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3.688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0.661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73.45</w:t>
            </w:r>
          </w:p>
        </w:tc>
        <w:tc>
          <w:tcPr>
            <w:tcW w:type="dxa" w:w="2130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</w:tbl>
    <w:p/>
    <w:p>
      <w:r>
        <w:rPr>
          <w:sz w:val="18"/>
        </w:rPr>
        <w:t>Note: Exp F uses quantcrypt high-level API (wrapper overhead). Energy unavailable without RAPL on this host.</w:t>
      </w:r>
    </w:p>
    <w:p>
      <w:pPr>
        <w:pStyle w:val="Heading1"/>
      </w:pPr>
      <w:r>
        <w:t>9. Cross-Layer Performance Synthesis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Evidence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Outcome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When migrate?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L1 CI lower ≈ 2042.10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Begin hybrid now (long EHR retention)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Which params?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Exp E ablation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ML-KEM-768 / ML-DSA-65 default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FL utility hit?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TOST equivalent (Sec 5)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No predictive degradation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FL latency hit?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Holm NS latency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Training dominates crypto tax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Ledger hit?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80.8→84.2 ms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Ordering dominates; +~4%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Poisoning?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Exp D full table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FedAvg fragile; robust aggs need tuning</w:t>
            </w:r>
          </w:p>
        </w:tc>
      </w:tr>
    </w:tbl>
    <w:p/>
    <w:p>
      <w:pPr>
        <w:pStyle w:val="Heading1"/>
      </w:pPr>
      <w:r>
        <w:t>10. Emitted Macros (key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4"/>
              </w:rPr>
              <w:t>Macro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FLNumSeeds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FLNumRounds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50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FLIIDAccuracyClassical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65.3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FLIIDAccuracyHybrid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65.3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FLIIDAccuracyNative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65.3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FLIIDAUROC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0.566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FLClientTenAccuracy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77.8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FLNativeLatencyOverheadPct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-0.53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FLDeterminismCheck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passed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ForecastBootstrapCILower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2042.10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ForecastGrowthRate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0.3731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ForecastDoublingTime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1.86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ForecastRSquared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0.5308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ForecastHoldoutMAE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563.39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ForecastHoldoutRMSE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602.62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ForecastHoldoutMAPE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424.63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ForecastLOOCVMAE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316.24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PQCBackend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quantcrypt-cffi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PqcMlKemSevenSixEightEncapsulateMean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0.128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PqcMlKemSevenSixEightDecapsulateMean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0.091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PqcMlDsaSixFiveSignMean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0.850</w:t>
            </w:r>
          </w:p>
        </w:tc>
      </w:tr>
      <w:tr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PqcMlDsaSixFiveVerifyMean</w:t>
            </w:r>
          </w:p>
        </w:tc>
        <w:tc>
          <w:tcPr>
            <w:tcW w:type="dxa" w:w="5326"/>
          </w:tcPr>
          <w:p>
            <w:pPr>
              <w:spacing w:after="0" w:before="0"/>
            </w:pPr>
            <w:r>
              <w:rPr>
                <w:sz w:val="14"/>
              </w:rPr>
              <w:t>0.245</w:t>
            </w:r>
          </w:p>
        </w:tc>
      </w:tr>
    </w:tbl>
    <w:p/>
    <w:p>
      <w:pPr>
        <w:pStyle w:val="Heading1"/>
      </w:pPr>
      <w:r>
        <w:t>11. Generated Diagram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4"/>
              </w:rPr>
              <w:t>Source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4"/>
              </w:rPr>
              <w:t>File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4"/>
              </w:rPr>
              <w:t>Embedded?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fl_overhead_results.png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forecasting_model_comparison.png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hlf_phase_latencies.png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pqc_overhead_results.png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sensitivity_analysis.png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threshold_crossing_uncertainty.png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chart_ablation.png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chart_bc_summary.png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chart_byzantine.png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chart_fl_accuracy.png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chart_fl_latency_modes.png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chart_hlf_phases.png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chart_pqc_all_ops.png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chart_pqc_ops.png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chart_resource.png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docs/_pdf_assets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chart_scenarios.png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figs/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fig2-Layered Architecture of Quantum-Resistant Federated Lea…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figs/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modality_comparison.png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layer_blockchainlayer.tex (TikZ source)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Listed (LaTeX)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layer_cryptolayer.tex (TikZ source)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Listed (LaTeX)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layer_fllayer.tex (TikZ source)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Listed (LaTeX)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layer_forecastinglayer.tex (TikZ source)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Listed (LaTeX)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figures/output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layer_migrationlayer.tex (TikZ source)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4"/>
              </w:rPr>
              <w:t>Listed (LaTeX)</w:t>
            </w:r>
          </w:p>
        </w:tc>
      </w:tr>
    </w:tbl>
    <w:p/>
    <w:p>
      <w:pPr>
        <w:pStyle w:val="Heading1"/>
      </w:pPr>
      <w:r>
        <w:t>12. Outputs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Artifact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Path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b/>
                <w:sz w:val="15"/>
              </w:rPr>
              <w:t>State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Macros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results/macros.json + results_macros.tex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Present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PQC full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results/pqc/summary.csv + trials.csv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27 ops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FL full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results/fl/all_results.csv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270 rows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Stats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results/statistics/fl_statistical_tests.csv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9 rows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Forecast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results/forecasting/**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Present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Resource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results/resource/summary.csv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4 ops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Blockchain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results/blockchain/*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Present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Figures PNG/PDF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figures/output/*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Present</w:t>
            </w:r>
          </w:p>
        </w:tc>
      </w:tr>
      <w:tr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This DOCX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docs/QRFL_Complete_Report.docx</w:t>
            </w:r>
          </w:p>
        </w:tc>
        <w:tc>
          <w:tcPr>
            <w:tcW w:type="dxa" w:w="3551"/>
          </w:tcPr>
          <w:p>
            <w:pPr>
              <w:spacing w:after="0" w:before="0"/>
            </w:pPr>
            <w:r>
              <w:rPr>
                <w:sz w:val="15"/>
              </w:rPr>
              <w:t>Generated</w:t>
            </w:r>
          </w:p>
        </w:tc>
      </w:tr>
    </w:tbl>
    <w:p/>
    <w:p>
      <w:pPr>
        <w:pStyle w:val="Heading1"/>
      </w:pPr>
      <w:r>
        <w:t>13. Limitations</w:t>
      </w:r>
    </w:p>
    <w:p>
      <w:pPr>
        <w:pStyle w:val="ListBullet"/>
      </w:pPr>
      <w:r>
        <w:t>FL PQ cost modeled from Exp A means (not live PQ-TLS every round).</w:t>
      </w:r>
    </w:p>
    <w:p>
      <w:pPr>
        <w:pStyle w:val="ListBullet"/>
      </w:pPr>
      <w:r>
        <w:t>Fabric MSP remains ECDSA; PQ authenticity is application/chaincode-level.</w:t>
      </w:r>
    </w:p>
    <w:p>
      <w:pPr>
        <w:pStyle w:val="ListBullet"/>
      </w:pPr>
      <w:r>
        <w:t>Forecast MAPE is high — prefer bootstrap lower-bound planning.</w:t>
      </w:r>
    </w:p>
    <w:p>
      <w:pPr>
        <w:pStyle w:val="ListBullet"/>
      </w:pPr>
      <w:r>
        <w:t>RAPL energy and Go chaincode deploy deferred on this host.</w:t>
      </w:r>
    </w:p>
    <w:p>
      <w:pPr>
        <w:pStyle w:val="ListBullet"/>
      </w:pPr>
      <w:r>
        <w:t>Byzantine Median/Krum need further tuning for PneumoniaMNIST imbalance.</w:t>
      </w:r>
    </w:p>
    <w:p>
      <w:pPr>
        <w:pStyle w:val="ListBullet"/>
      </w:pPr>
      <w:r>
        <w:t>fl/summary.csv / fl_metrics.tex may mix Byzantine rows for native@25 — this DOCX uses filtered all_results.csv.</w:t>
      </w:r>
    </w:p>
    <w:p>
      <w:r>
        <w:rPr>
          <w:i/>
          <w:color w:val="555555"/>
          <w:sz w:val="15"/>
        </w:rPr>
        <w:t>Auto-built from measured results/* and figures/output/* by scripts/build_complete_report_docx.py.</w:t>
      </w:r>
    </w:p>
    <w:sectPr w:rsidR="00FC693F" w:rsidRPr="0006063C" w:rsidSect="00034616"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2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