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FEB-24Q1-0002</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2024-01-13</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Q1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Zenith Risk outcomes achieved during Q1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Transaction Latency, Infra Cost, Fraud Rate, Revenue, Approval Rate</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$212.6M representing a 6.9% increase from forecast. Cloud resource optimization, improved capacity planning, and strategic vendor negotiations contributed to the cost efficiency gains. The cost-per-transaction metric improved to $0.042, supporting improved unit economics.</w:t>
      </w:r>
    </w:p>
    <w:p>
      <w:pPr>
        <w:pStyle w:val="Heading2"/>
        <w:spacing w:before="180" w:after="100"/>
      </w:pPr>
      <w:r>
        <w:rPr>
          <w:b/>
          <w:bCs/>
          <w:sz w:val="24"/>
          <w:szCs w:val="24"/>
        </w:rPr>
        <w:t xml:space="preserve">KPI Analysis 2</w:t>
      </w:r>
    </w:p>
    <w:p>
      <w:pPr>
        <w:spacing w:after="200"/>
      </w:pPr>
      <w:r>
        <w:t xml:space="preserve">Fraud detection capabilities showed strong performance this quarter, with the overall fraud rate measuring 0.17% of total transaction volume. The fraud prevention systems successfully identified and blocked $1.3M in potentially fraudulent activities. Enhanced machine learning models contributed to a 6.9%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Customer churn analysis indicates a retention rate of 93.3%, with 478 customers discontinuing service during the reporting period. Primary churn drivers included feature gaps, accounting for 36% of total attrition. Proactive retention initiatives managed to save approximately 36% of at-risk customers through targeted engagement and service improvements.</w:t>
      </w:r>
    </w:p>
    <w:p>
      <w:pPr>
        <w:pStyle w:val="Heading2"/>
        <w:spacing w:before="180" w:after="100"/>
      </w:pPr>
      <w:r>
        <w:rPr>
          <w:b/>
          <w:bCs/>
          <w:sz w:val="24"/>
          <w:szCs w:val="24"/>
        </w:rPr>
        <w:t xml:space="preserve">KPI Analysis 4</w:t>
      </w:r>
    </w:p>
    <w:p>
      <w:pPr>
        <w:spacing w:after="200"/>
      </w:pPr>
      <w:r>
        <w:t xml:space="preserve">Regulatory risk assessment identified 9 areas requiring enhanced monitoring and control frameworks. The compliance team successfully addressed 9 previously identified issues while implementing 5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Talent acquisition difficulties in specialized technical domains constrained project velocity and delayed certain strategic initiatives. The highly competitive labor market for experienced professionals in fraud detection and machine learning required adjusted recruitment strategies and enhanced retention programs to maintain team capability and continuity.</w:t>
      </w:r>
    </w:p>
    <w:p>
      <w:pPr>
        <w:pStyle w:val="Heading2"/>
        <w:spacing w:before="180" w:after="100"/>
      </w:pPr>
      <w:r>
        <w:rPr>
          <w:b/>
          <w:bCs/>
          <w:sz w:val="24"/>
          <w:szCs w:val="24"/>
        </w:rPr>
        <w:t xml:space="preserve">Challenge 2</w:t>
      </w:r>
    </w:p>
    <w:p>
      <w:pPr>
        <w:spacing w:after="200"/>
      </w:pPr>
      <w:r>
        <w:t xml:space="preserve">Cybersecurity threat landscape evolution necessitated enhanced protective measures and incident response capabilities. Several attempted intrusions were successfully defended, but the increasing sophistication of attack vectors highlighted the need for continuous security posture improvements and proactive threat intelligence utilization.</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10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9 opportunities for automation and simplification that could reduce average onboarding time by 36%.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$212.6M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70.6%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$8.8M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Zenith Risk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2026-02-05T08:24:43.664Z</dcterms:created>
  <dcterms:modified xsi:type="dcterms:W3CDTF">2026-02-05T08:24:43.664Z</dcterms:modified>
</cp:coreProperties>
</file>

<file path=docProps/custom.xml><?xml version="1.0" encoding="utf-8"?>
<Properties xmlns="http://schemas.openxmlformats.org/officeDocument/2006/custom-properties" xmlns:vt="http://schemas.openxmlformats.org/officeDocument/2006/docPropsVTypes"/>
</file>