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FEB-24Q1-0017</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2024-02-26</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Ishaan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Platform Lead</w:t>
            </w:r>
          </w:p>
        </w:tc>
      </w:tr>
    </w:tbl>
    <w:p>
      <w:pPr>
        <w:spacing w:after="300"/>
      </w:pPr>
    </w:p>
    <w:p>
      <w:pPr>
        <w:pStyle w:val="Heading1"/>
        <w:spacing w:before="240" w:after="120"/>
      </w:pPr>
      <w:r>
        <w:rPr>
          <w:b/>
          <w:bCs/>
          <w:sz w:val="28"/>
          <w:szCs w:val="28"/>
        </w:rPr>
        <w:t xml:space="preserve">Executive Summary</w:t>
      </w:r>
    </w:p>
    <w:p>
      <w:pPr>
        <w:spacing w:after="200"/>
      </w:pPr>
      <w:r>
        <w:t xml:space="preserve">This comprehensive report provides an in-depth analysis of Neptune Payments performance during Q1 2024. The evaluation encompasses multiple dimensions including operational efficiency, financial metrics, risk exposure, and strategic alignment with organizational objectives.</w:t>
      </w:r>
    </w:p>
    <w:p>
      <w:pPr>
        <w:pStyle w:val="Heading1"/>
        <w:spacing w:before="240" w:after="120"/>
      </w:pPr>
      <w:r>
        <w:rPr>
          <w:b/>
          <w:bCs/>
          <w:sz w:val="28"/>
          <w:szCs w:val="28"/>
        </w:rPr>
        <w:t xml:space="preserve">Key Performance Indicators</w:t>
      </w:r>
    </w:p>
    <w:p>
      <w:pPr>
        <w:spacing w:after="200"/>
      </w:pPr>
      <w:r>
        <w:rPr>
          <w:i/>
          <w:iCs/>
        </w:rPr>
        <w:t xml:space="preserve">Focus Areas: Customer Churn, Transaction Latency, Fraud Rate</w:t>
      </w:r>
    </w:p>
    <w:p>
      <w:pPr>
        <w:pStyle w:val="Heading2"/>
        <w:spacing w:before="180" w:after="100"/>
      </w:pPr>
      <w:r>
        <w:rPr>
          <w:b/>
          <w:bCs/>
          <w:sz w:val="24"/>
          <w:szCs w:val="24"/>
        </w:rPr>
        <w:t xml:space="preserve">KPI Analysis 1</w:t>
      </w:r>
    </w:p>
    <w:p>
      <w:pPr>
        <w:spacing w:after="200"/>
      </w:pPr>
      <w:r>
        <w:t xml:space="preserve">Credit approval rates achieved 0.39% during this quarter, processing a total of 18600 applications through automated and manual review channels. The approval criteria balanced risk appetite with growth objectives, resulting in a default rate of 1.33% among newly approved accounts. Underwriting efficiency improved by 9.7%, reducing average decision time to 7 hours.</w:t>
      </w:r>
    </w:p>
    <w:p>
      <w:pPr>
        <w:pStyle w:val="Heading2"/>
        <w:spacing w:before="180" w:after="100"/>
      </w:pPr>
      <w:r>
        <w:rPr>
          <w:b/>
          <w:bCs/>
          <w:sz w:val="24"/>
          <w:szCs w:val="24"/>
        </w:rPr>
        <w:t xml:space="preserve">KPI Analysis 2</w:t>
      </w:r>
    </w:p>
    <w:p>
      <w:pPr>
        <w:spacing w:after="200"/>
      </w:pPr>
      <w:r>
        <w:t xml:space="preserve">Fraud detection capabilities showed positive performance this quarter, with the overall fraud rate measuring 0.39% of total transaction volume. The fraud prevention systems successfully identified and blocked $3.2M in potentially fraudulent activities. Enhanced machine learning models contributed to a 9.7% improvement in detection accuracy while maintaining low false positive rates.</w:t>
      </w:r>
    </w:p>
    <w:p>
      <w:pPr>
        <w:pStyle w:val="Heading2"/>
        <w:spacing w:before="180" w:after="100"/>
      </w:pPr>
      <w:r>
        <w:rPr>
          <w:b/>
          <w:bCs/>
          <w:sz w:val="24"/>
          <w:szCs w:val="24"/>
        </w:rPr>
        <w:t xml:space="preserve">KPI Analysis 3</w:t>
      </w:r>
    </w:p>
    <w:p>
      <w:pPr>
        <w:spacing w:after="200"/>
      </w:pPr>
      <w:r>
        <w:t xml:space="preserve">Revenue generation for this period demonstrated positive momentum, with total realized revenue reaching $156.6M, representing a 9.7% improvement compared to the previous quarter. This performance was primarily driven by pricing optimization, which contributed significantly to the overall financial outcome. The revenue trajectory indicates positive momentum, suggesting sustained momentum in market penetration and customer value realization.</w:t>
      </w:r>
    </w:p>
    <w:p>
      <w:pPr>
        <w:pStyle w:val="Heading2"/>
        <w:spacing w:before="180" w:after="100"/>
      </w:pPr>
      <w:r>
        <w:rPr>
          <w:b/>
          <w:bCs/>
          <w:sz w:val="24"/>
          <w:szCs w:val="24"/>
        </w:rPr>
        <w:t xml:space="preserve">KPI Analysis 4</w:t>
      </w:r>
    </w:p>
    <w:p>
      <w:pPr>
        <w:spacing w:after="200"/>
      </w:pPr>
      <w:r>
        <w:t xml:space="preserve">Transaction latency metrics revealed an average response time of 73ms across all payment channels, marking a 9.7% improvement from prior benchmarks. The performance improvement can be attributed to algorithm improvements, which enhanced system throughput and reduced processing bottlenecks. Detailed analysis indicates that 24% of transactions completed within the target SLA threshold.</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2"/>
        <w:spacing w:before="180" w:after="100"/>
      </w:pPr>
      <w:r>
        <w:rPr>
          <w:b/>
          <w:bCs/>
          <w:sz w:val="24"/>
          <w:szCs w:val="24"/>
        </w:rPr>
        <w:t xml:space="preserve">Challenge 2</w:t>
      </w:r>
    </w:p>
    <w:p>
      <w:pPr>
        <w:spacing w:after="200"/>
      </w:pPr>
      <w:r>
        <w:t xml:space="preserve">Data quality issues in the customer information database created complications for analytics and reporting workflows. Approximately 24% of records required remediation due to incomplete or inconsistent data elements. A comprehensive data cleansing initiative was launched, establishing new validation protocols and improving upstream data capture mechanisms.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Cost optimization programs exceeded targets, delivering $156.6M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2"/>
        <w:spacing w:before="180" w:after="100"/>
      </w:pPr>
      <w:r>
        <w:rPr>
          <w:b/>
          <w:bCs/>
          <w:sz w:val="24"/>
          <w:szCs w:val="24"/>
        </w:rPr>
        <w:t xml:space="preserve">Achievement 2</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Optimize customer onboarding workflows to reduce friction and improve conversion rates. Current process analysis identified 18 opportunities for automation and simplification that could reduce average onboarding time by 24%. Improved onboarding experience will positively impact customer acquisition costs and lifetime value metrics.</w:t>
      </w:r>
    </w:p>
    <w:p>
      <w:pPr>
        <w:pStyle w:val="Heading2"/>
        <w:spacing w:before="180" w:after="100"/>
      </w:pPr>
      <w:r>
        <w:rPr>
          <w:b/>
          <w:bCs/>
          <w:sz w:val="24"/>
          <w:szCs w:val="24"/>
        </w:rPr>
        <w:t xml:space="preserve">Recommendation 2</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$156.6M with focus on technical and leadership capability development.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$156.6M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73ms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78.7%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$10.7M</w:t>
            </w:r>
          </w:p>
        </w:tc>
      </w:tr>
    </w:tbl>
    <w:p>
      <w:pPr>
        <w:pStyle w:val="Heading1"/>
        <w:spacing w:before="240" w:after="120"/>
      </w:pPr>
      <w:r>
        <w:rPr>
          <w:b/>
          <w:bCs/>
          <w:sz w:val="28"/>
          <w:szCs w:val="28"/>
        </w:rPr>
        <w:t xml:space="preserve">Conclusion</w:t>
      </w:r>
    </w:p>
    <w:p>
      <w:pPr>
        <w:spacing w:after="200"/>
      </w:pPr>
      <w:r>
        <w:t xml:space="preserve">In summary, Neptune Payments demonstrated solid performance during Q1 2024 with notable achievements in revenue growth while navigating challenges in technical debt. The strategic priorities for the coming quarter focus on enhancing scalability, supported by targeted investments in customer experience. Continued execution of the defined roadmap positions the project well for sustained value delivery.</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2026-02-05T08:24:43.859Z</dcterms:created>
  <dcterms:modified xsi:type="dcterms:W3CDTF">2026-02-05T08:24:43.859Z</dcterms:modified>
</cp:coreProperties>
</file>

<file path=docProps/custom.xml><?xml version="1.0" encoding="utf-8"?>
<Properties xmlns="http://schemas.openxmlformats.org/officeDocument/2006/custom-properties" xmlns:vt="http://schemas.openxmlformats.org/officeDocument/2006/docPropsVTypes"/>
</file>