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Compliance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FEB-24Q1-0023</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2024-01-27</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Kavya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Risk Manager</w:t>
            </w:r>
          </w:p>
        </w:tc>
      </w:tr>
    </w:tbl>
    <w:p>
      <w:pPr>
        <w:spacing w:after="300"/>
      </w:pPr>
    </w:p>
    <w:p>
      <w:pPr>
        <w:pStyle w:val="Heading1"/>
        <w:spacing w:before="240" w:after="120"/>
      </w:pPr>
      <w:r>
        <w:rPr>
          <w:b/>
          <w:bCs/>
          <w:sz w:val="28"/>
          <w:szCs w:val="28"/>
        </w:rPr>
        <w:t xml:space="preserve">Executive Summary</w:t>
      </w:r>
    </w:p>
    <w:p>
      <w:pPr>
        <w:spacing w:after="200"/>
      </w:pPr>
      <w:r>
        <w:t xml:space="preserve">This report documents the operational and strategic performance of Neptune Payments throughout Q1 2024. The analysis examines key performance indicators, evaluates risk factors, and assesses alignment with enterprise-wide objectives and compliance requirements.</w:t>
      </w:r>
    </w:p>
    <w:p>
      <w:pPr>
        <w:pStyle w:val="Heading1"/>
        <w:spacing w:before="240" w:after="120"/>
      </w:pPr>
      <w:r>
        <w:rPr>
          <w:b/>
          <w:bCs/>
          <w:sz w:val="28"/>
          <w:szCs w:val="28"/>
        </w:rPr>
        <w:t xml:space="preserve">Key Performance Indicators</w:t>
      </w:r>
    </w:p>
    <w:p>
      <w:pPr>
        <w:spacing w:after="200"/>
      </w:pPr>
      <w:r>
        <w:rPr>
          <w:i/>
          <w:iCs/>
        </w:rPr>
        <w:t xml:space="preserve">Focus Areas: Fraud Rate, Infra Cost, Revenue, Regulatory Risk, Customer Churn</w:t>
      </w:r>
    </w:p>
    <w:p>
      <w:pPr>
        <w:pStyle w:val="Heading2"/>
        <w:spacing w:before="180" w:after="100"/>
      </w:pPr>
      <w:r>
        <w:rPr>
          <w:b/>
          <w:bCs/>
          <w:sz w:val="24"/>
          <w:szCs w:val="24"/>
        </w:rPr>
        <w:t xml:space="preserve">KPI Analysis 1</w:t>
      </w:r>
    </w:p>
    <w:p>
      <w:pPr>
        <w:spacing w:after="200"/>
      </w:pPr>
      <w:r>
        <w:t xml:space="preserve">Fraud detection capabilities showed strong performance this quarter, with the overall fraud rate measuring 0.25% of total transaction volume. The fraud prevention systems successfully identified and blocked $5.9M in potentially fraudulent activities. Enhanced machine learning models contributed to a 20.0% improvement in detection accuracy while maintaining low false positive rates.</w:t>
      </w:r>
    </w:p>
    <w:p>
      <w:pPr>
        <w:pStyle w:val="Heading2"/>
        <w:spacing w:before="180" w:after="100"/>
      </w:pPr>
      <w:r>
        <w:rPr>
          <w:b/>
          <w:bCs/>
          <w:sz w:val="24"/>
          <w:szCs w:val="24"/>
        </w:rPr>
        <w:t xml:space="preserve">KPI Analysis 2</w:t>
      </w:r>
    </w:p>
    <w:p>
      <w:pPr>
        <w:spacing w:after="200"/>
      </w:pPr>
      <w:r>
        <w:t xml:space="preserve">Revenue generation for this period demonstrated strong momentum, with total realized revenue reaching $159.3M, representing a 20.0% increase compared to the previous quarter. This performance was primarily driven by operational efficiency, which contributed significantly to the overall financial outcome. The revenue trajectory indicates sustainable growth, suggesting sustained momentum in market penetration and customer value realization.</w:t>
      </w:r>
    </w:p>
    <w:p>
      <w:pPr>
        <w:pStyle w:val="Heading2"/>
        <w:spacing w:before="180" w:after="100"/>
      </w:pPr>
      <w:r>
        <w:rPr>
          <w:b/>
          <w:bCs/>
          <w:sz w:val="24"/>
          <w:szCs w:val="24"/>
        </w:rPr>
        <w:t xml:space="preserve">KPI Analysis 3</w:t>
      </w:r>
    </w:p>
    <w:p>
      <w:pPr>
        <w:spacing w:after="200"/>
      </w:pPr>
      <w:r>
        <w:t xml:space="preserve">Customer churn analysis indicates a retention rate of 95.4%, with 537 customers discontinuing service during the reporting period. Primary churn drivers included feature gaps, accounting for 33% of total attrition. Proactive retention initiatives managed to save approximately 33% of at-risk customers through targeted engagement and service improvements.</w:t>
      </w:r>
    </w:p>
    <w:p>
      <w:pPr>
        <w:pStyle w:val="Heading2"/>
        <w:spacing w:before="180" w:after="100"/>
      </w:pPr>
      <w:r>
        <w:rPr>
          <w:b/>
          <w:bCs/>
          <w:sz w:val="24"/>
          <w:szCs w:val="24"/>
        </w:rPr>
        <w:t xml:space="preserve">KPI Analysis 4</w:t>
      </w:r>
    </w:p>
    <w:p>
      <w:pPr>
        <w:spacing w:after="200"/>
      </w:pPr>
      <w:r>
        <w:t xml:space="preserve">Credit approval rates achieved 0.25% during this quarter, processing a total of 14546 applications through automated and manual review channels. The approval criteria balanced risk appetite with growth objectives, resulting in a default rate of 1.94% among newly approved accounts. Underwriting efficiency improved by 20.0%, reducing average decision time to 4 hours.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2"/>
        <w:spacing w:before="180" w:after="100"/>
      </w:pPr>
      <w:r>
        <w:rPr>
          <w:b/>
          <w:bCs/>
          <w:sz w:val="24"/>
          <w:szCs w:val="24"/>
        </w:rPr>
        <w:t xml:space="preserve">Challenge 2</w:t>
      </w:r>
    </w:p>
    <w:p>
      <w:pPr>
        <w:spacing w:after="200"/>
      </w:pPr>
      <w:r>
        <w:t xml:space="preserve">Talent acquisition difficulties in specialized technical domains constrained project velocity and delayed certain strategic initiatives. The highly competitive labor market for experienced professionals in fraud detection and machine learning required adjusted recruitment strategies and enhanced retention programs to maintain team capability and continuity.</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Customer satisfaction scores reached an all-time high of 8.5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2"/>
        <w:spacing w:before="180" w:after="100"/>
      </w:pPr>
      <w:r>
        <w:rPr>
          <w:b/>
          <w:bCs/>
          <w:sz w:val="24"/>
          <w:szCs w:val="24"/>
        </w:rPr>
        <w:t xml:space="preserve">Achievement 2</w:t>
      </w:r>
    </w:p>
    <w:p>
      <w:pPr>
        <w:spacing w:after="200"/>
      </w:pPr>
      <w:r>
        <w:t xml:space="preserve">Fraud detection algorithm refinements resulted in a 33% improvement in identification accuracy while reducing false positive rates by 33%. The machine learning models now incorporate expanded feature sets and improved training methodologies that enhance pattern recognition capabilities. These improvements directly translate to reduced financial losses and improved customer experience.</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Optimize customer onboarding workflows to reduce friction and improve conversion rates. Current process analysis identified 14 opportunities for automation and simplification that could reduce average onboarding time by 33%. Improved onboarding experience will positively impact customer acquisition costs and lifetime value metrics.</w:t>
      </w:r>
    </w:p>
    <w:p>
      <w:pPr>
        <w:pStyle w:val="Heading2"/>
        <w:spacing w:before="180" w:after="100"/>
      </w:pPr>
      <w:r>
        <w:rPr>
          <w:b/>
          <w:bCs/>
          <w:sz w:val="24"/>
          <w:szCs w:val="24"/>
        </w:rPr>
        <w:t xml:space="preserve">Recommendation 2</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$159.3M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46ms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70.9%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$10.2M</w:t>
            </w:r>
          </w:p>
        </w:tc>
      </w:tr>
    </w:tbl>
    <w:p>
      <w:pPr>
        <w:pStyle w:val="Heading1"/>
        <w:spacing w:before="240" w:after="120"/>
      </w:pPr>
      <w:r>
        <w:rPr>
          <w:b/>
          <w:bCs/>
          <w:sz w:val="28"/>
          <w:szCs w:val="28"/>
        </w:rPr>
        <w:t xml:space="preserve">Conclusion</w:t>
      </w:r>
    </w:p>
    <w:p>
      <w:pPr>
        <w:spacing w:after="200"/>
      </w:pPr>
      <w:r>
        <w:t xml:space="preserve">Quarter performance met or exceeded expectations across most critical dimensions, validating the strategic approach and operational execution capabilities. The identified opportunities for optimization provide clear roadmap for incremental value creation in subsequent quarters. Leadership commitment to transparent communication and data-driven decision making continues to drive organizational effectiveness.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2026-02-05T08:24:43.911Z</dcterms:created>
  <dcterms:modified xsi:type="dcterms:W3CDTF">2026-02-05T08:24:43.911Z</dcterms:modified>
</cp:coreProperties>
</file>

<file path=docProps/custom.xml><?xml version="1.0" encoding="utf-8"?>
<Properties xmlns="http://schemas.openxmlformats.org/officeDocument/2006/custom-properties" xmlns:vt="http://schemas.openxmlformats.org/officeDocument/2006/docPropsVTypes"/>
</file>