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Revenue</w:t>
      </w:r>
    </w:p>
    <w:p>
      <w:pPr>
        <w:pStyle w:val="Heading2"/>
        <w:spacing w:before="180" w:after="100"/>
      </w:pPr>
      <w:r>
        <w:rPr>
          <w:b/>
          <w:bCs/>
          <w:sz w:val="24"/>
          <w:szCs w:val="24"/>
        </w:rPr>
        <w:t xml:space="preserve">KPI Analysis 1</w:t>
      </w:r>
    </w:p>
    <w:p>
      <w:pPr>
        <w:spacing w:after="200"/>
      </w:pPr>
      <w:r>
        <w:t xml:space="preserve">Regulatory risk assessment identified 10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0.26% during this quarter, processing a total of 30418 applications through automated and manual review channels. The approval criteria balanced risk appetite with growth objectives, resulting in a default rate of 1.55% among newly approved accounts. Underwriting efficiency improved by 10.7%, reducing average decision time to 8 hours.</w:t>
      </w:r>
    </w:p>
    <w:p>
      <w:pPr>
        <w:pStyle w:val="Heading2"/>
        <w:spacing w:before="180" w:after="100"/>
      </w:pPr>
      <w:r>
        <w:rPr>
          <w:b/>
          <w:bCs/>
          <w:sz w:val="24"/>
          <w:szCs w:val="24"/>
        </w:rPr>
        <w:t xml:space="preserve">KPI Analysis 3</w:t>
      </w:r>
    </w:p>
    <w:p>
      <w:pPr>
        <w:spacing w:after="200"/>
      </w:pPr>
      <w:r>
        <w:t xml:space="preserve">Revenue generation for this period demonstrated strong momentum, with total realized revenue reaching $162.5M, representing a 10.7%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Customer churn analysis indicates a retention rate of 94.0%, with 275 customers discontinuing service during the reporting period. Primary churn drivers included support quality, accounting for 39% of total attrition. Proactive retention initiatives managed to save approximately 39%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$162.5M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$162.5M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2026-02-05T08:24:43.968Z</dcterms:created>
  <dcterms:modified xsi:type="dcterms:W3CDTF">2026-02-05T08:24:43.968Z</dcterms:modified>
</cp:coreProperties>
</file>

<file path=docProps/custom.xml><?xml version="1.0" encoding="utf-8"?>
<Properties xmlns="http://schemas.openxmlformats.org/officeDocument/2006/custom-properties" xmlns:vt="http://schemas.openxmlformats.org/officeDocument/2006/docPropsVTypes"/>
</file>