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Approval Rate</w:t>
      </w:r>
    </w:p>
    <w:p>
      <w:pPr>
        <w:pStyle w:val="Heading2"/>
        <w:spacing w:before="180" w:after="100"/>
      </w:pPr>
      <w:r>
        <w:rPr>
          <w:b/>
          <w:bCs/>
          <w:sz w:val="24"/>
          <w:szCs w:val="24"/>
        </w:rPr>
        <w:t xml:space="preserve">KPI Analysis 1</w:t>
      </w:r>
    </w:p>
    <w:p>
      <w:pPr>
        <w:spacing w:after="200"/>
      </w:pPr>
      <w:r>
        <w:t xml:space="preserve">Regulatory risk assessment identified 16 areas requiring enhanced monitoring and control frameworks. The compliance team successfully addressed 4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0.23% during this quarter, processing a total of 13585 applications through automated and manual review channels. The approval criteria balanced risk appetite with growth objectives, resulting in a default rate of 0.64% among newly approved accounts. Underwriting efficiency improved by 12.2%, reducing average decision time to 26 hours.</w:t>
      </w:r>
    </w:p>
    <w:p>
      <w:pPr>
        <w:pStyle w:val="Heading2"/>
        <w:spacing w:before="180" w:after="100"/>
      </w:pPr>
      <w:r>
        <w:rPr>
          <w:b/>
          <w:bCs/>
          <w:sz w:val="24"/>
          <w:szCs w:val="24"/>
        </w:rPr>
        <w:t xml:space="preserve">KPI Analysis 3</w:t>
      </w:r>
    </w:p>
    <w:p>
      <w:pPr>
        <w:spacing w:after="200"/>
      </w:pPr>
      <w:r>
        <w:t xml:space="preserve">Revenue generation for this period demonstrated strong momentum, with total realized revenue reaching $184.8M, representing a 12.2% improvement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$184.8M representing a 12.2% improvement from forecast. Cloud resource optimization, improved capacity planning, and strategic vendor negotiations contributed to the cost efficiency gains. The cost-per-transaction metric improved to $0.027,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$184.8M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$184.8M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$184.8M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Q1 2024 with notable achievements in customer acquisition while navigating challenges in technical debt. The strategic priorities for the coming quarter focus on strengthening security,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2026-02-05T08:24:43.977Z</dcterms:created>
  <dcterms:modified xsi:type="dcterms:W3CDTF">2026-02-05T08:24:43.977Z</dcterms:modified>
</cp:coreProperties>
</file>

<file path=docProps/custom.xml><?xml version="1.0" encoding="utf-8"?>
<Properties xmlns="http://schemas.openxmlformats.org/officeDocument/2006/custom-properties" xmlns:vt="http://schemas.openxmlformats.org/officeDocument/2006/docPropsVTypes"/>
</file>