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FEB-24Q1-0039</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2024-03-21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Q1 2024.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Approval Rate, Customer Churn, Regulatory Risk, Infra Cost, Transaction Latency</w:t>
      </w:r>
    </w:p>
    <w:p>
      <w:pPr>
        <w:pStyle w:val="Heading2"/>
        <w:spacing w:before="180" w:after="100"/>
      </w:pPr>
      <w:r>
        <w:rPr>
          <w:b/>
          <w:bCs/>
          <w:sz w:val="24"/>
          <w:szCs w:val="24"/>
        </w:rPr>
        <w:t xml:space="preserve">KPI Analysis 1</w:t>
      </w:r>
    </w:p>
    <w:p>
      <w:pPr>
        <w:spacing w:after="200"/>
      </w:pPr>
      <w:r>
        <w:t xml:space="preserve">Fraud detection capabilities showed stable performance this quarter, with the overall fraud rate measuring 0.35% of total transaction volume. The fraud prevention systems successfully identified and blocked $5.4M in potentially fraudulent activities. Enhanced machine learning models contributed to a 18.8%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Revenue generation for this period demonstrated stable momentum, with total realized revenue reaching $237.4M, representing a 18.8% increase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3</w:t>
      </w:r>
    </w:p>
    <w:p>
      <w:pPr>
        <w:spacing w:after="200"/>
      </w:pPr>
      <w:r>
        <w:t xml:space="preserve">Credit approval rates achieved 0.35% during this quarter, processing a total of 59438 applications through automated and manual review channels. The approval criteria balanced risk appetite with growth objectives, resulting in a default rate of 2.29% among newly approved accounts. Underwriting efficiency improved by 18.8%, reducing average decision time to 12 hours.</w:t>
      </w:r>
    </w:p>
    <w:p>
      <w:pPr>
        <w:pStyle w:val="Heading2"/>
        <w:spacing w:before="180" w:after="100"/>
      </w:pPr>
      <w:r>
        <w:rPr>
          <w:b/>
          <w:bCs/>
          <w:sz w:val="24"/>
          <w:szCs w:val="24"/>
        </w:rPr>
        <w:t xml:space="preserve">KPI Analysis 4</w:t>
      </w:r>
    </w:p>
    <w:p>
      <w:pPr>
        <w:spacing w:after="200"/>
      </w:pPr>
      <w:r>
        <w:t xml:space="preserve">Infrastructure cost optimization initiatives yielded significant results, with total operational expenditure of $237.4M representing a 18.8% increase from forecast. Cloud resource optimization, improved capacity planning, and strategic vendor negotiations contributed to the cost efficiency gains. The cost-per-transaction metric improved to $0.049, supporting improved unit economics.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3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$237.4M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$11.2M</w:t>
            </w:r>
          </w:p>
        </w:tc>
      </w:tr>
    </w:tbl>
    <w:p>
      <w:pPr>
        <w:pStyle w:val="Heading1"/>
        <w:spacing w:before="240" w:after="120"/>
      </w:pPr>
      <w:r>
        <w:rPr>
          <w:b/>
          <w:bCs/>
          <w:sz w:val="28"/>
          <w:szCs w:val="28"/>
        </w:rPr>
        <w:t xml:space="preserve">Conclusion</w:t>
      </w:r>
    </w:p>
    <w:p>
      <w:pPr>
        <w:spacing w:after="200"/>
      </w:pPr>
      <w:r>
        <w:t xml:space="preserve">In summary, Neptune Payments demonstrated solid performance during Q1 2024 with notable achievements in platform stability while navigating challenges in resource allocation. The strategic priorities for the coming quarter focus on enhancing scalability, supported by targeted investments in product innovation.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2026-02-05T08:24:44.082Z</dcterms:created>
  <dcterms:modified xsi:type="dcterms:W3CDTF">2026-02-05T08:24:44.082Z</dcterms:modified>
</cp:coreProperties>
</file>

<file path=docProps/custom.xml><?xml version="1.0" encoding="utf-8"?>
<Properties xmlns="http://schemas.openxmlformats.org/officeDocument/2006/custom-properties" xmlns:vt="http://schemas.openxmlformats.org/officeDocument/2006/docPropsVTypes"/>
</file>