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FEB-24Q1-0040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2024-03-12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Phoenix Wallet operations for Q1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Customer Churn, Revenue, Transaction Latency, Approval Rate</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$157.8M representing a 15.1% increase from forecast. Cloud resource optimization, improved capacity planning, and strategic vendor negotiations contributed to the cost efficiency gains. The cost-per-transaction metric improved to $0.053, supporting improved unit economics.</w:t>
      </w:r>
    </w:p>
    <w:p>
      <w:pPr>
        <w:pStyle w:val="Heading2"/>
        <w:spacing w:before="180" w:after="100"/>
      </w:pPr>
      <w:r>
        <w:rPr>
          <w:b/>
          <w:bCs/>
          <w:sz w:val="24"/>
          <w:szCs w:val="24"/>
        </w:rPr>
        <w:t xml:space="preserve">KPI Analysis 2</w:t>
      </w:r>
    </w:p>
    <w:p>
      <w:pPr>
        <w:spacing w:after="200"/>
      </w:pPr>
      <w:r>
        <w:t xml:space="preserve">Revenue generation for this period demonstrated improving momentum, with total realized revenue reaching $157.8M, representing a 15.1% increase compared to the previous quarter. This performance was primarily driven by product enhancements,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Customer churn analysis indicates a retention rate of 96.2%, with 552 customers discontinuing service during the reporting period. Primary churn drivers included feature gaps, accounting for 46% of total attrition. Proactive retention initiatives managed to save approximately 46%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Fraud detection capabilities showed improving performance this quarter, with the overall fraud rate measuring 0.19% of total transaction volume. The fraud prevention systems successfully identified and blocked $3.6M in potentially fraudulent activities. Enhanced machine learning models contributed to a 15.1%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46%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$157.8M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New product launch exceeded initial adoption targets by 46%, with 9 customers onboarded in the first 23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9 opportunities for automation and simplification that could reduce average onboarding time by 46%.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$157.8M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$157.8M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$10.2M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compliance and opportunities for improvement in system scalability.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2026-02-05T08:24:44.096Z</dcterms:created>
  <dcterms:modified xsi:type="dcterms:W3CDTF">2026-02-05T08:24:44.096Z</dcterms:modified>
</cp:coreProperties>
</file>

<file path=docProps/custom.xml><?xml version="1.0" encoding="utf-8"?>
<Properties xmlns="http://schemas.openxmlformats.org/officeDocument/2006/custom-properties" xmlns:vt="http://schemas.openxmlformats.org/officeDocument/2006/docPropsVTypes"/>
</file>