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FEB-24Q1-0049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2024-02-24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Atlas Credit outcomes achieved during Q1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Customer Churn, Regulatory Risk</w:t>
      </w:r>
    </w:p>
    <w:p>
      <w:pPr>
        <w:pStyle w:val="Heading2"/>
        <w:spacing w:before="180" w:after="100"/>
      </w:pPr>
      <w:r>
        <w:rPr>
          <w:b/>
          <w:bCs/>
          <w:sz w:val="24"/>
          <w:szCs w:val="24"/>
        </w:rPr>
        <w:t xml:space="preserve">KPI Analysis 1</w:t>
      </w:r>
    </w:p>
    <w:p>
      <w:pPr>
        <w:spacing w:after="200"/>
      </w:pPr>
      <w:r>
        <w:t xml:space="preserve">Fraud detection capabilities showed improving performance this quarter, with the overall fraud rate measuring 0.15% of total transaction volume. The fraud prevention systems successfully identified and blocked $4.4M in potentially fraudulent activities. Enhanced machine learning models contributed to a 20.5%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Regulatory risk assessment identified 5 areas requiring enhanced monitoring and control frameworks. The compliance team successfully addressed 8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Customer churn analysis indicates a retention rate of 94.1%, with 403 customers discontinuing service during the reporting period. Primary churn drivers included competitive offerings, accounting for 26% of total attrition. Proactive retention initiatives managed to save approximately 26%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61ms across all payment channels, marking a 20.5% growth from prior benchmarks. The performance improvement can be attributed to infrastructure optimization, which enhanced system throughput and reduced processing bottlenecks. Detailed analysis indicates that 26%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Cost optimization programs exceeded targets, delivering $156.8M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$156.8M upon full implementation.</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$156.8M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$156.8M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$10.0M</w:t>
            </w:r>
          </w:p>
        </w:tc>
      </w:tr>
    </w:tbl>
    <w:p>
      <w:pPr>
        <w:pStyle w:val="Heading1"/>
        <w:spacing w:before="240" w:after="120"/>
      </w:pPr>
      <w:r>
        <w:rPr>
          <w:b/>
          <w:bCs/>
          <w:sz w:val="28"/>
          <w:szCs w:val="28"/>
        </w:rPr>
        <w:t xml:space="preserve">Conclusion</w:t>
      </w:r>
    </w:p>
    <w:p>
      <w:pPr>
        <w:spacing w:after="200"/>
      </w:pPr>
      <w:r>
        <w:t xml:space="preserve">In summary, Atlas Credit demonstrated solid performance during Q1 2024 with notable achievements in risk management while navigating challenges in market competition. The strategic priorities for the coming quarter focus on enhancing scalability, supported by targeted investments in product innovation.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2026-02-05T08:24:44.192Z</dcterms:created>
  <dcterms:modified xsi:type="dcterms:W3CDTF">2026-02-05T08:24:44.192Z</dcterms:modified>
</cp:coreProperties>
</file>

<file path=docProps/custom.xml><?xml version="1.0" encoding="utf-8"?>
<Properties xmlns="http://schemas.openxmlformats.org/officeDocument/2006/custom-properties" xmlns:vt="http://schemas.openxmlformats.org/officeDocument/2006/docPropsVTypes"/>
</file>