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Financial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FEB-25Q1-0007</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2025-03-03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Siddharth</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Finance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Orion Fraud activities throughout Q1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Regulatory Risk, Revenue, Fraud Rate, Transaction Latency, Customer Churn</w:t>
      </w:r>
    </w:p>
    <w:p>
      <w:pPr>
        <w:pStyle w:val="Heading2"/>
        <w:spacing w:before="180" w:after="100"/>
      </w:pPr>
      <w:r>
        <w:rPr>
          <w:b/>
          <w:bCs/>
          <w:sz w:val="24"/>
          <w:szCs w:val="24"/>
        </w:rPr>
        <w:t xml:space="preserve">KPI Analysis 1</w:t>
      </w:r>
    </w:p>
    <w:p>
      <w:pPr>
        <w:spacing w:after="200"/>
      </w:pPr>
      <w:r>
        <w:t xml:space="preserve">Revenue generation for this period demonstrated positive momentum, with total realized revenue reaching $633.4M, representing a 14.8% increase compared to the previous quarter. This performance was primarily driven by operational efficiency, which contributed significantly to the overall financial outcome. The revenue trajectory indicates positive momentum,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Regulatory risk assessment identified 11 areas requiring enhanced monitoring and control frameworks. The compliance team successfully addressed 7 previously identified issues while implementing 3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Transaction latency metrics revealed an average response time of 68ms across all payment channels, marking a 14.8% increase from prior benchmarks. The performance improvement can be attributed to algorithm improvements, which enhanced system throughput and reduced processing bottlenecks. Detailed analysis indicates that 44% of transactions completed within the target SLA threshold.</w:t>
      </w:r>
    </w:p>
    <w:p>
      <w:pPr>
        <w:pStyle w:val="Heading2"/>
        <w:spacing w:before="180" w:after="100"/>
      </w:pPr>
      <w:r>
        <w:rPr>
          <w:b/>
          <w:bCs/>
          <w:sz w:val="24"/>
          <w:szCs w:val="24"/>
        </w:rPr>
        <w:t xml:space="preserve">KPI Analysis 4</w:t>
      </w:r>
    </w:p>
    <w:p>
      <w:pPr>
        <w:spacing w:after="200"/>
      </w:pPr>
      <w:r>
        <w:t xml:space="preserve">Credit approval rates achieved 0.37% during this quarter, processing a total of 50046 applications through automated and manual review channels. The approval criteria balanced risk appetite with growth objectives, resulting in a default rate of 2.26% among newly approved accounts. Underwriting efficiency improved by 14.8%, reducing average decision time to 12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Third-party vendor performance fell short of contractual service level agreements in several instances, impacting downstream system availability and user experience. The vendor management team initiated formal performance improvement plans and explored alternative provider options to mitigate dependency risks and ensure service reliability.</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13 months with projected annual savings of $633.4M upon full implementation.</w:t>
      </w:r>
    </w:p>
    <w:p>
      <w:pPr>
        <w:pStyle w:val="Heading2"/>
        <w:spacing w:before="180" w:after="100"/>
      </w:pPr>
      <w:r>
        <w:rPr>
          <w:b/>
          <w:bCs/>
          <w:sz w:val="24"/>
          <w:szCs w:val="24"/>
        </w:rPr>
        <w:t xml:space="preserve">Recommendation 2</w:t>
      </w:r>
    </w:p>
    <w:p>
      <w:pPr>
        <w:spacing w:after="200"/>
      </w:pPr>
      <w:r>
        <w:t xml:space="preserve">Implement advanced analytics capabilities to derive deeper insights from transaction data and customer behavior patterns. The investment in machine learning infrastructure and data science talent will enable more sophisticated risk modeling, personalized customer experiences, and proactive issue identification. Expected ROI timeline of 13 months with multiple value realization streams.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$633.4M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$9.9M</w:t>
            </w:r>
          </w:p>
        </w:tc>
      </w:tr>
    </w:tbl>
    <w:p>
      <w:pPr>
        <w:pStyle w:val="Heading1"/>
        <w:spacing w:before="240" w:after="120"/>
      </w:pPr>
      <w:r>
        <w:rPr>
          <w:b/>
          <w:bCs/>
          <w:sz w:val="28"/>
          <w:szCs w:val="28"/>
        </w:rPr>
        <w:t xml:space="preserve">Conclusion</w:t>
      </w:r>
    </w:p>
    <w:p>
      <w:pPr>
        <w:spacing w:after="200"/>
      </w:pPr>
      <w:r>
        <w:t xml:space="preserve">In summary, Orion Fraud demonstrated solid performance during Q1 2025 with notable achievements in revenue growth while navigating challenges in technical debt. The strategic priorities for the coming quarter focus on enhancing scalability, supported by targeted investments in talent development. Continued execution of the defined roadmap positions the project well for sustained value delivery.</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2026-02-05T08:24:45.602Z</dcterms:created>
  <dcterms:modified xsi:type="dcterms:W3CDTF">2026-02-05T08:24:45.602Z</dcterms:modified>
</cp:coreProperties>
</file>

<file path=docProps/custom.xml><?xml version="1.0" encoding="utf-8"?>
<Properties xmlns="http://schemas.openxmlformats.org/officeDocument/2006/custom-properties" xmlns:vt="http://schemas.openxmlformats.org/officeDocument/2006/docPropsVTypes"/>
</file>