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2"/>
          <w:szCs w:val="32"/>
        </w:rPr>
        <w:t xml:space="preserve">FinEdge Bank</w:t>
      </w:r>
    </w:p>
    <w:p>
      <w:pPr>
        <w:spacing w:after="400"/>
        <w:jc w:val="center"/>
      </w:pPr>
      <w:r>
        <w:rPr>
          <w:sz w:val="28"/>
          <w:szCs w:val="28"/>
        </w:rPr>
        <w:t xml:space="preserve">Customer Insights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Report ID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FEB-25Q1-0012</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2025-03-25</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Quarter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Q1 2025</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Project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Neptune Payments</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Author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Neha</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Role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Product Manager</w:t>
            </w:r>
          </w:p>
        </w:tc>
      </w:tr>
    </w:tbl>
    <w:p>
      <w:pPr>
        <w:spacing w:after="300"/>
      </w:pPr>
    </w:p>
    <w:p>
      <w:pPr>
        <w:pStyle w:val="Heading1"/>
        <w:spacing w:before="240" w:after="120"/>
      </w:pPr>
      <w:r>
        <w:rPr>
          <w:b/>
          <w:bCs/>
          <w:sz w:val="28"/>
          <w:szCs w:val="28"/>
        </w:rPr>
        <w:t xml:space="preserve">Executive Summary</w:t>
      </w:r>
    </w:p>
    <w:p>
      <w:pPr>
        <w:spacing w:after="200"/>
      </w:pPr>
      <w:r>
        <w:t xml:space="preserve">This comprehensive report provides an in-depth analysis of Neptune Payments performance during Q1 2025. The evaluation encompasses multiple dimensions including operational efficiency, financial metrics, risk exposure, and strategic alignment with organizational objectives.</w:t>
      </w:r>
    </w:p>
    <w:p>
      <w:pPr>
        <w:pStyle w:val="Heading1"/>
        <w:spacing w:before="240" w:after="120"/>
      </w:pPr>
      <w:r>
        <w:rPr>
          <w:b/>
          <w:bCs/>
          <w:sz w:val="28"/>
          <w:szCs w:val="28"/>
        </w:rPr>
        <w:t xml:space="preserve">Key Performance Indicators</w:t>
      </w:r>
    </w:p>
    <w:p>
      <w:pPr>
        <w:spacing w:after="200"/>
      </w:pPr>
      <w:r>
        <w:rPr>
          <w:i/>
          <w:iCs/>
        </w:rPr>
        <w:t xml:space="preserve">Focus Areas: Revenue, Fraud Rate, Transaction Latency</w:t>
      </w:r>
    </w:p>
    <w:p>
      <w:pPr>
        <w:pStyle w:val="Heading2"/>
        <w:spacing w:before="180" w:after="100"/>
      </w:pPr>
      <w:r>
        <w:rPr>
          <w:b/>
          <w:bCs/>
          <w:sz w:val="24"/>
          <w:szCs w:val="24"/>
        </w:rPr>
        <w:t xml:space="preserve">KPI Analysis 1</w:t>
      </w:r>
    </w:p>
    <w:p>
      <w:pPr>
        <w:spacing w:after="200"/>
      </w:pPr>
      <w:r>
        <w:t xml:space="preserve">Revenue generation for this period demonstrated strong momentum, with total realized revenue reaching $610.4M, representing a 8.3% growth compared to the previous quarter. This performance was primarily driven by customer acquisition, which contributed significantly to the overall financial outcome. The revenue trajectory indicates positive momentum, suggesting sustained momentum in market penetration and customer value realization.</w:t>
      </w:r>
    </w:p>
    <w:p>
      <w:pPr>
        <w:pStyle w:val="Heading2"/>
        <w:spacing w:before="180" w:after="100"/>
      </w:pPr>
      <w:r>
        <w:rPr>
          <w:b/>
          <w:bCs/>
          <w:sz w:val="24"/>
          <w:szCs w:val="24"/>
        </w:rPr>
        <w:t xml:space="preserve">KPI Analysis 2</w:t>
      </w:r>
    </w:p>
    <w:p>
      <w:pPr>
        <w:spacing w:after="200"/>
      </w:pPr>
      <w:r>
        <w:t xml:space="preserve">Transaction latency metrics revealed an average response time of 59ms across all payment channels, marking a 8.3% growth from prior benchmarks. The performance improvement can be attributed to algorithm improvements, which enhanced system throughput and reduced processing bottlenecks. Detailed analysis indicates that 33% of transactions completed within the target SLA threshold.</w:t>
      </w:r>
    </w:p>
    <w:p>
      <w:pPr>
        <w:pStyle w:val="Heading2"/>
        <w:spacing w:before="180" w:after="100"/>
      </w:pPr>
      <w:r>
        <w:rPr>
          <w:b/>
          <w:bCs/>
          <w:sz w:val="24"/>
          <w:szCs w:val="24"/>
        </w:rPr>
        <w:t xml:space="preserve">KPI Analysis 3</w:t>
      </w:r>
    </w:p>
    <w:p>
      <w:pPr>
        <w:spacing w:after="200"/>
      </w:pPr>
      <w:r>
        <w:t xml:space="preserve">Regulatory risk assessment identified 16 areas requiring enhanced monitoring and control frameworks. The compliance team successfully addressed 3 previously identified issues while implementing 4 additional safeguards. All regulatory reporting obligations were met within prescribed deadlines, with zero material findings from external audits.</w:t>
      </w:r>
    </w:p>
    <w:p>
      <w:pPr>
        <w:pStyle w:val="Heading2"/>
        <w:spacing w:before="180" w:after="100"/>
      </w:pPr>
      <w:r>
        <w:rPr>
          <w:b/>
          <w:bCs/>
          <w:sz w:val="24"/>
          <w:szCs w:val="24"/>
        </w:rPr>
        <w:t xml:space="preserve">KPI Analysis 4</w:t>
      </w:r>
    </w:p>
    <w:p>
      <w:pPr>
        <w:spacing w:after="200"/>
      </w:pPr>
      <w:r>
        <w:t xml:space="preserve">Customer churn analysis indicates a retention rate of 95.4%, with 506 customers discontinuing service during the reporting period. Primary churn drivers included feature gaps, accounting for 33% of total attrition. Proactive retention initiatives managed to save approximately 33% of at-risk customers through targeted engagement and service improvements.</w:t>
      </w:r>
    </w:p>
    <w:p>
      <w:pPr>
        <w:pStyle w:val="Heading1"/>
        <w:spacing w:before="240" w:after="120"/>
      </w:pPr>
      <w:r>
        <w:rPr>
          <w:b/>
          <w:bCs/>
          <w:sz w:val="28"/>
          <w:szCs w:val="28"/>
        </w:rPr>
        <w:t xml:space="preserve">Challenges and Mitigation</w:t>
      </w:r>
    </w:p>
    <w:p>
      <w:pPr>
        <w:pStyle w:val="Heading2"/>
        <w:spacing w:before="180" w:after="100"/>
      </w:pPr>
      <w:r>
        <w:rPr>
          <w:b/>
          <w:bCs/>
          <w:sz w:val="24"/>
          <w:szCs w:val="24"/>
        </w:rPr>
        <w:t xml:space="preserve">Challenge 1</w:t>
      </w:r>
    </w:p>
    <w:p>
      <w:pPr>
        <w:spacing w:after="200"/>
      </w:pPr>
      <w:r>
        <w:t xml:space="preserve">Data quality issues in the customer information database created complications for analytics and reporting workflows. Approximately 33% of records required remediation due to incomplete or inconsistent data elements. A comprehensive data cleansing initiative was launched, establishing new validation protocols and improving upstream data capture mechanisms.</w:t>
      </w:r>
    </w:p>
    <w:p>
      <w:pPr>
        <w:pStyle w:val="Heading2"/>
        <w:spacing w:before="180" w:after="100"/>
      </w:pPr>
      <w:r>
        <w:rPr>
          <w:b/>
          <w:bCs/>
          <w:sz w:val="24"/>
          <w:szCs w:val="24"/>
        </w:rPr>
        <w:t xml:space="preserve">Challenge 2</w:t>
      </w:r>
    </w:p>
    <w:p>
      <w:pPr>
        <w:spacing w:after="200"/>
      </w:pPr>
      <w:r>
        <w:t xml:space="preserve">Several operational challenges emerged during the quarter that required immediate attention and remediation. System scalability constraints became apparent during peak transaction periods, necessitating infrastructure upgrades and architectural refinements. The engineering team implemented emergency capacity enhancements while developing longer-term solutions to address underlying limitations.</w:t>
      </w:r>
    </w:p>
    <w:p>
      <w:pPr>
        <w:pStyle w:val="Heading1"/>
        <w:spacing w:before="240" w:after="120"/>
      </w:pPr>
      <w:r>
        <w:rPr>
          <w:b/>
          <w:bCs/>
          <w:sz w:val="28"/>
          <w:szCs w:val="28"/>
        </w:rPr>
        <w:t xml:space="preserve">Key Achievements</w:t>
      </w:r>
    </w:p>
    <w:p>
      <w:pPr>
        <w:pStyle w:val="Heading2"/>
        <w:spacing w:before="180" w:after="100"/>
      </w:pPr>
      <w:r>
        <w:rPr>
          <w:b/>
          <w:bCs/>
          <w:sz w:val="24"/>
          <w:szCs w:val="24"/>
        </w:rPr>
        <w:t xml:space="preserve">Achievement 1</w:t>
      </w:r>
    </w:p>
    <w:p>
      <w:pPr>
        <w:spacing w:after="200"/>
      </w:pPr>
      <w:r>
        <w:t xml:space="preserve">Regulatory compliance audit concluded with zero critical findings and commendations for control framework maturity and documentation quality. The compliance team's proactive approach to requirement interpretation and implementation established FinEdge Bank as an industry leader in governance practices. This outcome strengthens stakeholder confidence and competitive positioning.</w:t>
      </w:r>
    </w:p>
    <w:p>
      <w:pPr>
        <w:pStyle w:val="Heading2"/>
        <w:spacing w:before="180" w:after="100"/>
      </w:pPr>
      <w:r>
        <w:rPr>
          <w:b/>
          <w:bCs/>
          <w:sz w:val="24"/>
          <w:szCs w:val="24"/>
        </w:rPr>
        <w:t xml:space="preserve">Achievement 2</w:t>
      </w:r>
    </w:p>
    <w:p>
      <w:pPr>
        <w:spacing w:after="200"/>
      </w:pPr>
      <w:r>
        <w:t xml:space="preserve">Fraud detection algorithm refinements resulted in a 33% improvement in identification accuracy while reducing false positive rates by 33%. The machine learning models now incorporate expanded feature sets and improved training methodologies that enhance pattern recognition capabilities. These improvements directly translate to reduced financial losses and improved customer experience.</w:t>
      </w:r>
    </w:p>
    <w:p>
      <w:pPr>
        <w:pStyle w:val="Heading1"/>
        <w:spacing w:before="240" w:after="120"/>
      </w:pPr>
      <w:r>
        <w:rPr>
          <w:b/>
          <w:bCs/>
          <w:sz w:val="28"/>
          <w:szCs w:val="28"/>
        </w:rPr>
        <w:t xml:space="preserve">Strategic Recommendations</w:t>
      </w:r>
    </w:p>
    <w:p>
      <w:pPr>
        <w:pStyle w:val="Heading2"/>
        <w:spacing w:before="180" w:after="100"/>
      </w:pPr>
      <w:r>
        <w:rPr>
          <w:b/>
          <w:bCs/>
          <w:sz w:val="24"/>
          <w:szCs w:val="24"/>
        </w:rPr>
        <w:t xml:space="preserve">Recommendation 1</w:t>
      </w:r>
    </w:p>
    <w:p>
      <w:pPr>
        <w:spacing w:after="200"/>
      </w:pPr>
      <w:r>
        <w:t xml:space="preserve">Establish dedicated innovation team to explore emerging technologies and business model innovations. The rapidly evolving competitive landscape requires systematic approach to identifying disruptive opportunities and threats. Recommended team size of 10 professionals with cross-functional expertise and appropriate experimentation budget.</w:t>
      </w:r>
    </w:p>
    <w:p>
      <w:pPr>
        <w:pStyle w:val="Heading2"/>
        <w:spacing w:before="180" w:after="100"/>
      </w:pPr>
      <w:r>
        <w:rPr>
          <w:b/>
          <w:bCs/>
          <w:sz w:val="24"/>
          <w:szCs w:val="24"/>
        </w:rPr>
        <w:t xml:space="preserve">Recommendation 2</w:t>
      </w:r>
    </w:p>
    <w:p>
      <w:pPr>
        <w:spacing w:after="200"/>
      </w:pPr>
      <w:r>
        <w:t xml:space="preserve">Strengthen cybersecurity posture through enhanced monitoring tools, incident response capabilities, and security awareness training programs. The threat landscape evolution requires continuous investment in defensive capabilities and proactive threat hunting. Recommended budget allocation of $610.4M annually to maintain appropriate security maturity level.</w:t>
      </w:r>
    </w:p>
    <w:p>
      <w:pPr>
        <w:pStyle w:val="Heading1"/>
        <w:spacing w:before="240" w:after="120"/>
      </w:pPr>
      <w:r>
        <w:rPr>
          <w:b/>
          <w:bCs/>
          <w:sz w:val="28"/>
          <w:szCs w:val="28"/>
        </w:rPr>
        <w:t xml:space="preserve">Performance Metrics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Metric</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Revenue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$610.4M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Transaction Latency (ms)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59ms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Fraud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0.31%</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Customer Churn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4.6%</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Approval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80.6%</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Infrastructure Cost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$11.6M</w:t>
            </w:r>
          </w:p>
        </w:tc>
      </w:tr>
    </w:tbl>
    <w:p>
      <w:pPr>
        <w:pStyle w:val="Heading1"/>
        <w:spacing w:before="240" w:after="120"/>
      </w:pPr>
      <w:r>
        <w:rPr>
          <w:b/>
          <w:bCs/>
          <w:sz w:val="28"/>
          <w:szCs w:val="28"/>
        </w:rPr>
        <w:t xml:space="preserve">Conclusion</w:t>
      </w:r>
    </w:p>
    <w:p>
      <w:pPr>
        <w:spacing w:after="200"/>
      </w:pPr>
      <w:r>
        <w:t xml:space="preserve">The findings and recommendations outlined in this report provide actionable insights for stakeholders across the organization. Implementation of the proposed initiatives will require coordinated effort and sustained focus, but the potential value creation justifies the required investment. Regular progress tracking and course correction mechanisms will ensure achievement of desired outcomes.</w:t>
      </w:r>
    </w:p>
    <w:p>
      <w:pPr>
        <w:spacing w:before="400"/>
      </w:pPr>
    </w:p>
    <w:p>
      <w:pPr>
        <w:spacing w:before="200"/>
        <w:jc w:val="center"/>
      </w:pPr>
      <w:r>
        <w:rPr>
          <w:i/>
          <w:iCs/>
        </w:rPr>
        <w:t xml:space="preserve">--- End of Report ---</w:t>
      </w:r>
    </w:p>
    <w:p>
      <w:pPr>
        <w:jc w:val="center"/>
      </w:pPr>
      <w:r>
        <w:rPr>
          <w:i/>
          <w:iCs/>
          <w:sz w:val="18"/>
          <w:szCs w:val="18"/>
        </w:rPr>
        <w:t xml:space="preserve">Confidential - FinEdge Bank Internal Use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2026-02-05T08:24:45.638Z</dcterms:created>
  <dcterms:modified xsi:type="dcterms:W3CDTF">2026-02-05T08:24:45.638Z</dcterms:modified>
</cp:coreProperties>
</file>

<file path=docProps/custom.xml><?xml version="1.0" encoding="utf-8"?>
<Properties xmlns="http://schemas.openxmlformats.org/officeDocument/2006/custom-properties" xmlns:vt="http://schemas.openxmlformats.org/officeDocument/2006/docPropsVTypes"/>
</file>