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 Transaction Latency</w:t>
      </w:r>
    </w:p>
    <w:p>
      <w:pPr>
        <w:pStyle w:val="Heading2"/>
        <w:spacing w:before="180" w:after="100"/>
      </w:pPr>
      <w:r>
        <w:rPr>
          <w:b/>
          <w:bCs/>
          <w:sz w:val="24"/>
          <w:szCs w:val="24"/>
        </w:rPr>
        <w:t xml:space="preserve">KPI Analysis 1</w:t>
      </w:r>
    </w:p>
    <w:p>
      <w:pPr>
        <w:spacing w:after="200"/>
      </w:pPr>
      <w:r>
        <w:t xml:space="preserve">Credit approval rates achieved 0.26% during this quarter, processing a total of 42660 applications through automated and manual review channels. The approval criteria balanced risk appetite with growth objectives, resulting in a default rate of 1.28% among newly approved accounts. Underwriting efficiency improved by 12.7%, reducing average decision time to 9 hours.</w:t>
      </w:r>
    </w:p>
    <w:p>
      <w:pPr>
        <w:pStyle w:val="Heading2"/>
        <w:spacing w:before="180" w:after="100"/>
      </w:pPr>
      <w:r>
        <w:rPr>
          <w:b/>
          <w:bCs/>
          <w:sz w:val="24"/>
          <w:szCs w:val="24"/>
        </w:rPr>
        <w:t xml:space="preserve">KPI Analysis 2</w:t>
      </w:r>
    </w:p>
    <w:p>
      <w:pPr>
        <w:spacing w:after="200"/>
      </w:pPr>
      <w:r>
        <w:t xml:space="preserve">Fraud detection capabilities showed strong performance this quarter, with the overall fraud rate measuring 0.26% of total transaction volume. The fraud prevention systems successfully identified and blocked $2.1M in potentially fraudulent activities. Enhanced machine learning models contributed to a 12.7%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12.7% growth from prior benchmarks. The performance improvement can be attributed to network optimization, which enhanced system throughput and reduced processing bottlenecks. Detailed analysis indicates that 22%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22% improvement in identification accuracy while reducing false positive rates by 22%.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$592.6M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2025 with notable achievements in customer acquisition while navigating challenges in market competition. The strategic priorities for the coming quarter focus on strengthening security,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2026-02-05T08:24:45.683Z</dcterms:created>
  <dcterms:modified xsi:type="dcterms:W3CDTF">2026-02-05T08:24:45.683Z</dcterms:modified>
</cp:coreProperties>
</file>

<file path=docProps/custom.xml><?xml version="1.0" encoding="utf-8"?>
<Properties xmlns="http://schemas.openxmlformats.org/officeDocument/2006/custom-properties" xmlns:vt="http://schemas.openxmlformats.org/officeDocument/2006/docPropsVTypes"/>
</file>