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Operational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FEB-25Q1-0027</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2025-03-18</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Neha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 Manager</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Zenith Risk outcomes achieved during Q1 2025.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Regulatory Risk, Revenue, Customer Churn, Fraud Rate, Infra Cost</w:t>
      </w:r>
    </w:p>
    <w:p>
      <w:pPr>
        <w:pStyle w:val="Heading2"/>
        <w:spacing w:before="180" w:after="100"/>
      </w:pPr>
      <w:r>
        <w:rPr>
          <w:b/>
          <w:bCs/>
          <w:sz w:val="24"/>
          <w:szCs w:val="24"/>
        </w:rPr>
        <w:t xml:space="preserve">KPI Analysis 1</w:t>
      </w:r>
    </w:p>
    <w:p>
      <w:pPr>
        <w:spacing w:after="200"/>
      </w:pPr>
      <w:r>
        <w:t xml:space="preserve">Credit approval rates achieved 0.28% during this quarter, processing a total of 10198 applications through automated and manual review channels. The approval criteria balanced risk appetite with growth objectives, resulting in a default rate of 0.52% among newly approved accounts. Underwriting efficiency improved by 13.5%, reducing average decision time to 23 hours.</w:t>
      </w:r>
    </w:p>
    <w:p>
      <w:pPr>
        <w:pStyle w:val="Heading2"/>
        <w:spacing w:before="180" w:after="100"/>
      </w:pPr>
      <w:r>
        <w:rPr>
          <w:b/>
          <w:bCs/>
          <w:sz w:val="24"/>
          <w:szCs w:val="24"/>
        </w:rPr>
        <w:t xml:space="preserve">KPI Analysis 2</w:t>
      </w:r>
    </w:p>
    <w:p>
      <w:pPr>
        <w:spacing w:after="200"/>
      </w:pPr>
      <w:r>
        <w:t xml:space="preserve">Infrastructure cost optimization initiatives yielded significant results, with total operational expenditure of $628.1M representing a 13.5% growth from forecast. Cloud resource optimization, improved capacity planning, and strategic vendor negotiations contributed to the cost efficiency gains. The cost-per-transaction metric improved to $0.041, supporting improved unit economics.</w:t>
      </w:r>
    </w:p>
    <w:p>
      <w:pPr>
        <w:pStyle w:val="Heading2"/>
        <w:spacing w:before="180" w:after="100"/>
      </w:pPr>
      <w:r>
        <w:rPr>
          <w:b/>
          <w:bCs/>
          <w:sz w:val="24"/>
          <w:szCs w:val="24"/>
        </w:rPr>
        <w:t xml:space="preserve">KPI Analysis 3</w:t>
      </w:r>
    </w:p>
    <w:p>
      <w:pPr>
        <w:spacing w:after="200"/>
      </w:pPr>
      <w:r>
        <w:t xml:space="preserve">Regulatory risk assessment identified 8 areas requiring enhanced monitoring and control frameworks. The compliance team successfully addressed 8 previously identified issues while implementing 1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4</w:t>
      </w:r>
    </w:p>
    <w:p>
      <w:pPr>
        <w:spacing w:after="200"/>
      </w:pPr>
      <w:r>
        <w:t xml:space="preserve">Customer churn analysis indicates a retention rate of 94.2%, with 520 customers discontinuing service during the reporting period. Primary churn drivers included service issues, accounting for 45% of total attrition. Proactive retention initiatives managed to save approximately 45% of at-risk customers through targeted engagement and service improvements.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2"/>
        <w:spacing w:before="180" w:after="100"/>
      </w:pPr>
      <w:r>
        <w:rPr>
          <w:b/>
          <w:bCs/>
          <w:sz w:val="24"/>
          <w:szCs w:val="24"/>
        </w:rPr>
        <w:t xml:space="preserve">Challenge 2</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New product launch exceeded initial adoption targets by 45%, with 8 customers onboarded in the first 21 days. The go-to-market strategy successfully addressed customer pain points and differentiated the offering from competitive alternatives. Early usage patterns and feedback provide strong indicators for sustained growth trajectory.</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8 months with projected annual savings of $628.1M upon full implementation.</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8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$628.1M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46ms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83.4%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$8.7M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2026-02-05T08:24:45.754Z</dcterms:created>
  <dcterms:modified xsi:type="dcterms:W3CDTF">2026-02-05T08:24:45.754Z</dcterms:modified>
</cp:coreProperties>
</file>

<file path=docProps/custom.xml><?xml version="1.0" encoding="utf-8"?>
<Properties xmlns="http://schemas.openxmlformats.org/officeDocument/2006/custom-properties" xmlns:vt="http://schemas.openxmlformats.org/officeDocument/2006/docPropsVTypes"/>
</file>