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Compliance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FEB-25Q1-0031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2025-02-12</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Neha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Manager</w:t>
            </w:r>
          </w:p>
        </w:tc>
      </w:tr>
    </w:tbl>
    <w:p>
      <w:pPr>
        <w:spacing w:after="300"/>
      </w:pPr>
    </w:p>
    <w:p>
      <w:pPr>
        <w:pStyle w:val="Heading1"/>
        <w:spacing w:before="240" w:after="120"/>
      </w:pPr>
      <w:r>
        <w:rPr>
          <w:b/>
          <w:bCs/>
          <w:sz w:val="28"/>
          <w:szCs w:val="28"/>
        </w:rPr>
        <w:t xml:space="preserve">Executive Summary</w:t>
      </w:r>
    </w:p>
    <w:p>
      <w:pPr>
        <w:spacing w:after="200"/>
      </w:pPr>
      <w:r>
        <w:t xml:space="preserve">This comprehensive report provides an in-depth analysis of Zenith Risk performance during Q1 2025. The evaluation encompasses multiple dimensions including operational efficiency, financial metrics, risk exposure, and strategic alignment with organizational objectives.</w:t>
      </w:r>
    </w:p>
    <w:p>
      <w:pPr>
        <w:pStyle w:val="Heading1"/>
        <w:spacing w:before="240" w:after="120"/>
      </w:pPr>
      <w:r>
        <w:rPr>
          <w:b/>
          <w:bCs/>
          <w:sz w:val="28"/>
          <w:szCs w:val="28"/>
        </w:rPr>
        <w:t xml:space="preserve">Key Performance Indicators</w:t>
      </w:r>
    </w:p>
    <w:p>
      <w:pPr>
        <w:spacing w:after="200"/>
      </w:pPr>
      <w:r>
        <w:rPr>
          <w:i/>
          <w:iCs/>
        </w:rPr>
        <w:t xml:space="preserve">Focus Areas: Infra Cost, Customer Churn, Transaction Latency, Regulatory Risk</w:t>
      </w:r>
    </w:p>
    <w:p>
      <w:pPr>
        <w:pStyle w:val="Heading2"/>
        <w:spacing w:before="180" w:after="100"/>
      </w:pPr>
      <w:r>
        <w:rPr>
          <w:b/>
          <w:bCs/>
          <w:sz w:val="24"/>
          <w:szCs w:val="24"/>
        </w:rPr>
        <w:t xml:space="preserve">KPI Analysis 1</w:t>
      </w:r>
    </w:p>
    <w:p>
      <w:pPr>
        <w:spacing w:after="200"/>
      </w:pPr>
      <w:r>
        <w:t xml:space="preserve">Fraud detection capabilities showed strong performance this quarter, with the overall fraud rate measuring 0.14% of total transaction volume. The fraud prevention systems successfully identified and blocked $2.2M in potentially fraudulent activities. Enhanced machine learning models contributed to a 10.0%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Credit approval rates achieved 0.14% during this quarter, processing a total of 52872 applications through automated and manual review channels. The approval criteria balanced risk appetite with growth objectives, resulting in a default rate of 2.12% among newly approved accounts. Underwriting efficiency improved by 10.0%, reducing average decision time to 10 hours.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70ms across all payment channels, marking a 10.0% improvement from prior benchmarks. The performance improvement can be attributed to network optimization, which enhanced system throughput and reduced processing bottlenecks. Detailed analysis indicates that 30% of transactions completed within the target SLA threshold.</w:t>
      </w:r>
    </w:p>
    <w:p>
      <w:pPr>
        <w:pStyle w:val="Heading2"/>
        <w:spacing w:before="180" w:after="100"/>
      </w:pPr>
      <w:r>
        <w:rPr>
          <w:b/>
          <w:bCs/>
          <w:sz w:val="24"/>
          <w:szCs w:val="24"/>
        </w:rPr>
        <w:t xml:space="preserve">KPI Analysis 4</w:t>
      </w:r>
    </w:p>
    <w:p>
      <w:pPr>
        <w:spacing w:after="200"/>
      </w:pPr>
      <w:r>
        <w:t xml:space="preserve">Regulatory risk assessment identified 15 areas requiring enhanced monitoring and control frameworks. The compliance team successfully addressed 3 previously identified issues while implementing 4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New product launch exceeded initial adoption targets by 30%, with 15 customers onboarded in the first 20 days. The go-to-market strategy successfully addressed customer pain points and differentiated the offering from competitive alternatives. Early usage patterns and feedback provide strong indicators for sustained growth trajectory.</w:t>
      </w:r>
    </w:p>
    <w:p>
      <w:pPr>
        <w:pStyle w:val="Heading2"/>
        <w:spacing w:before="180" w:after="100"/>
      </w:pPr>
      <w:r>
        <w:rPr>
          <w:b/>
          <w:bCs/>
          <w:sz w:val="24"/>
          <w:szCs w:val="24"/>
        </w:rPr>
        <w:t xml:space="preserve">Achievement 2</w:t>
      </w:r>
    </w:p>
    <w:p>
      <w:pPr>
        <w:spacing w:after="200"/>
      </w:pPr>
      <w:r>
        <w:t xml:space="preserve">Fraud detection algorithm refinements resulted in a 30% improvement in identification accuracy while reducing false positive rates by 30%.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14 months with projected annual savings of $552.0M upon full implementation.</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$552.0M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$11.7M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2026-02-05T08:24:45.783Z</dcterms:created>
  <dcterms:modified xsi:type="dcterms:W3CDTF">2026-02-05T08:24:45.783Z</dcterms:modified>
</cp:coreProperties>
</file>

<file path=docProps/custom.xml><?xml version="1.0" encoding="utf-8"?>
<Properties xmlns="http://schemas.openxmlformats.org/officeDocument/2006/custom-properties" xmlns:vt="http://schemas.openxmlformats.org/officeDocument/2006/docPropsVTypes"/>
</file>