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FEB-25Q1-0041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2025-02-20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Atlas Credit operations for Q1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Regulatory Risk,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$627.5M, representing a 6.0% growth compared to the previous quarter. This performance was primarily driven by product enhancements,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Regulatory risk assessment identified 9 areas requiring enhanced monitoring and control frameworks. The compliance team successfully addressed 7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Credit approval rates achieved 0.18% during this quarter, processing a total of 42945 applications through automated and manual review channels. The approval criteria balanced risk appetite with growth objectives, resulting in a default rate of 2.43% among newly approved accounts. Underwriting efficiency improved by 6.0%, reducing average decision time to 20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48ms across all payment channels, marking a 6.0% growth from prior benchmarks. The performance improvement can be attributed to caching strategies, which enhanced system throughput and reduced processing bottlenecks. Detailed analysis indicates that 28%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12 months with projected annual savings of $627.5M upon full implementation.</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$627.5M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$627.5M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$8.9M</w:t>
            </w:r>
          </w:p>
        </w:tc>
      </w:tr>
    </w:tbl>
    <w:p>
      <w:pPr>
        <w:pStyle w:val="Heading1"/>
        <w:spacing w:before="240" w:after="120"/>
      </w:pPr>
      <w:r>
        <w:rPr>
          <w:b/>
          <w:bCs/>
          <w:sz w:val="28"/>
          <w:szCs w:val="28"/>
        </w:rPr>
        <w:t xml:space="preserve">Conclusion</w:t>
      </w:r>
    </w:p>
    <w:p>
      <w:pPr>
        <w:spacing w:after="200"/>
      </w:pPr>
      <w:r>
        <w:t xml:space="preserve">In summary, Atlas Credit demonstrated solid performance during Q1 2025 with notable achievements in platform stability while navigating challenges in technical debt. The strategic priorities for the coming quarter focus on enhancing scalability,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2026-02-05T08:24:45.855Z</dcterms:created>
  <dcterms:modified xsi:type="dcterms:W3CDTF">2026-02-05T08:24:45.855Z</dcterms:modified>
</cp:coreProperties>
</file>

<file path=docProps/custom.xml><?xml version="1.0" encoding="utf-8"?>
<Properties xmlns="http://schemas.openxmlformats.org/officeDocument/2006/custom-properties" xmlns:vt="http://schemas.openxmlformats.org/officeDocument/2006/docPropsVTypes"/>
</file>