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FEB-25Q1-0050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2025-02-11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Phoenix Wallet operations for Q1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Infra Cost, Approval Rate, Fraud Rate</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$565.4M, representing a 14.5% increase compared to the previous quarter. This performance was primarily driven by operational efficiency,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72ms across all payment channels, marking a 14.5% increase from prior benchmarks. The performance improvement can be attributed to infrastructure optimization, which enhanced system throughput and reduced processing bottlenecks. Detailed analysis indicates that 35% of transactions completed within the target SLA threshold.</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$565.4M representing a 14.5% increase from forecast. Cloud resource optimization, improved capacity planning, and strategic vendor negotiations contributed to the cost efficiency gains. The cost-per-transaction metric improved to $0.022, supporting improved unit economics.</w:t>
      </w:r>
    </w:p>
    <w:p>
      <w:pPr>
        <w:pStyle w:val="Heading2"/>
        <w:spacing w:before="180" w:after="100"/>
      </w:pPr>
      <w:r>
        <w:rPr>
          <w:b/>
          <w:bCs/>
          <w:sz w:val="24"/>
          <w:szCs w:val="24"/>
        </w:rPr>
        <w:t xml:space="preserve">KPI Analysis 4</w:t>
      </w:r>
    </w:p>
    <w:p>
      <w:pPr>
        <w:spacing w:after="200"/>
      </w:pPr>
      <w:r>
        <w:t xml:space="preserve">Credit approval rates achieved 0.24% during this quarter, processing a total of 23838 applications through automated and manual review channels. The approval criteria balanced risk appetite with growth objectives, resulting in a default rate of 2.40% among newly approved accounts. Underwriting efficiency improved by 14.5%, reducing average decision time to 15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Cost optimization programs exceeded targets, delivering $565.4M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6 months with projected annual savings of $565.4M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6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$565.4M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$8.7M</w:t>
            </w:r>
          </w:p>
        </w:tc>
      </w:tr>
    </w:tbl>
    <w:p>
      <w:pPr>
        <w:pStyle w:val="Heading1"/>
        <w:spacing w:before="240" w:after="120"/>
      </w:pPr>
      <w:r>
        <w:rPr>
          <w:b/>
          <w:bCs/>
          <w:sz w:val="28"/>
          <w:szCs w:val="28"/>
        </w:rPr>
        <w:t xml:space="preserve">Conclusion</w:t>
      </w:r>
    </w:p>
    <w:p>
      <w:pPr>
        <w:spacing w:after="200"/>
      </w:pPr>
      <w:r>
        <w:t xml:space="preserve">In summary, Phoenix Wallet demonstrated solid performance during Q1 2025 with notable achievements in revenue growth while navigating challenges in market competition. The strategic priorities for the coming quarter focus on expanding capabilities, supported by targeted investments in infrastructure.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2026-02-05T08:24:45.919Z</dcterms:created>
  <dcterms:modified xsi:type="dcterms:W3CDTF">2026-02-05T08:24:45.919Z</dcterms:modified>
</cp:coreProperties>
</file>

<file path=docProps/custom.xml><?xml version="1.0" encoding="utf-8"?>
<Properties xmlns="http://schemas.openxmlformats.org/officeDocument/2006/custom-properties" xmlns:vt="http://schemas.openxmlformats.org/officeDocument/2006/docPropsVTypes"/>
</file>