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FEB-24Q2-0007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2024-05-09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Q2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Infra Cost, Customer Churn, Revenue, Regulatory Risk</w:t>
      </w:r>
    </w:p>
    <w:p>
      <w:pPr>
        <w:pStyle w:val="Heading2"/>
        <w:spacing w:before="180" w:after="100"/>
      </w:pPr>
      <w:r>
        <w:rPr>
          <w:b/>
          <w:bCs/>
          <w:sz w:val="24"/>
          <w:szCs w:val="24"/>
        </w:rPr>
        <w:t xml:space="preserve">KPI Analysis 1</w:t>
      </w:r>
    </w:p>
    <w:p>
      <w:pPr>
        <w:spacing w:after="200"/>
      </w:pPr>
      <w:r>
        <w:t xml:space="preserve">Regulatory risk assessment identified 9 areas requiring enhanced monitoring and control frameworks. The compliance team successfully addressed 7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Credit approval rates achieved 0.25% during this quarter, processing a total of 12537 applications through automated and manual review channels. The approval criteria balanced risk appetite with growth objectives, resulting in a default rate of 2.28% among newly approved accounts. Underwriting efficiency improved by 9.9%, reducing average decision time to 22 hours.</w:t>
      </w:r>
    </w:p>
    <w:p>
      <w:pPr>
        <w:pStyle w:val="Heading2"/>
        <w:spacing w:before="180" w:after="100"/>
      </w:pPr>
      <w:r>
        <w:rPr>
          <w:b/>
          <w:bCs/>
          <w:sz w:val="24"/>
          <w:szCs w:val="24"/>
        </w:rPr>
        <w:t xml:space="preserve">KPI Analysis 3</w:t>
      </w:r>
    </w:p>
    <w:p>
      <w:pPr>
        <w:spacing w:after="200"/>
      </w:pPr>
      <w:r>
        <w:t xml:space="preserve">Customer churn analysis indicates a retention rate of 95.7%, with 510 customers discontinuing service during the reporting period. Primary churn drivers included service issues, accounting for 46% of total attrition. Proactive retention initiatives managed to save approximately 46%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Revenue generation for this period demonstrated stable momentum, with total realized revenue reaching $302.9M, representing a 9.9% growth compared to the previous quarter. This performance was primarily driven by market expansion, which contributed significantly to the overall financial outcome. The revenue trajectory indicates sustainable growth,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New product launch exceeded initial adoption targets by 46%, with 9 customers onboarded in the first 10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$302.9M with focus on technical and leadership capability development.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9 opportunities for automation and simplification that could reduce average onboarding time by 46%.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$302.9M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Neptune Payments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2026-02-05T08:24:44.309Z</dcterms:created>
  <dcterms:modified xsi:type="dcterms:W3CDTF">2026-02-05T08:24:44.309Z</dcterms:modified>
</cp:coreProperties>
</file>

<file path=docProps/custom.xml><?xml version="1.0" encoding="utf-8"?>
<Properties xmlns="http://schemas.openxmlformats.org/officeDocument/2006/custom-properties" xmlns:vt="http://schemas.openxmlformats.org/officeDocument/2006/docPropsVTypes"/>
</file>