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FEB-24Q2-0013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2024-06-02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Neptune Payments operations for Q2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Customer Churn, Transaction Latency, Fraud Rate, Revenue</w:t>
      </w:r>
    </w:p>
    <w:p>
      <w:pPr>
        <w:pStyle w:val="Heading2"/>
        <w:spacing w:before="180" w:after="100"/>
      </w:pPr>
      <w:r>
        <w:rPr>
          <w:b/>
          <w:bCs/>
          <w:sz w:val="24"/>
          <w:szCs w:val="24"/>
        </w:rPr>
        <w:t xml:space="preserve">KPI Analysis 1</w:t>
      </w:r>
    </w:p>
    <w:p>
      <w:pPr>
        <w:spacing w:after="200"/>
      </w:pPr>
      <w:r>
        <w:t xml:space="preserve">Revenue generation for this period demonstrated positive momentum, with total realized revenue reaching $272.7M, representing a 21.9% improvement compared to the previous quarter. This performance was primarily driven by market expansion,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Credit approval rates achieved 0.18% during this quarter, processing a total of 54096 applications through automated and manual review channels. The approval criteria balanced risk appetite with growth objectives, resulting in a default rate of 1.80% among newly approved accounts. Underwriting efficiency improved by 21.9%, reducing average decision time to 24 hours.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70ms across all payment channels, marking a 21.9% improvement from prior benchmarks. The performance improvement can be attributed to network optimization, which enhanced system throughput and reduced processing bottlenecks. Detailed analysis indicates that 25% of transactions completed within the target SLA threshold.</w:t>
      </w:r>
    </w:p>
    <w:p>
      <w:pPr>
        <w:pStyle w:val="Heading2"/>
        <w:spacing w:before="180" w:after="100"/>
      </w:pPr>
      <w:r>
        <w:rPr>
          <w:b/>
          <w:bCs/>
          <w:sz w:val="24"/>
          <w:szCs w:val="24"/>
        </w:rPr>
        <w:t xml:space="preserve">KPI Analysis 4</w:t>
      </w:r>
    </w:p>
    <w:p>
      <w:pPr>
        <w:spacing w:after="200"/>
      </w:pPr>
      <w:r>
        <w:t xml:space="preserve">Fraud detection capabilities showed positive performance this quarter, with the overall fraud rate measuring 0.18% of total transaction volume. The fraud prevention systems successfully identified and blocked $5.5M in potentially fraudulent activities. Enhanced machine learning models contributed to a 21.9%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Customer satisfaction scores reached an all-time high of 8.0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2"/>
        <w:spacing w:before="180" w:after="100"/>
      </w:pPr>
      <w:r>
        <w:rPr>
          <w:b/>
          <w:bCs/>
          <w:sz w:val="24"/>
          <w:szCs w:val="24"/>
        </w:rPr>
        <w:t xml:space="preserve">Achievement 2</w:t>
      </w:r>
    </w:p>
    <w:p>
      <w:pPr>
        <w:spacing w:after="200"/>
      </w:pPr>
      <w:r>
        <w:t xml:space="preserve">Cost optimization programs exceeded targets, delivering $272.7M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16 months with multiple value realization streams.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$272.7M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$272.7M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$10.3M</w:t>
            </w:r>
          </w:p>
        </w:tc>
      </w:tr>
    </w:tbl>
    <w:p>
      <w:pPr>
        <w:pStyle w:val="Heading1"/>
        <w:spacing w:before="240" w:after="120"/>
      </w:pPr>
      <w:r>
        <w:rPr>
          <w:b/>
          <w:bCs/>
          <w:sz w:val="28"/>
          <w:szCs w:val="28"/>
        </w:rPr>
        <w:t xml:space="preserve">Conclusion</w:t>
      </w:r>
    </w:p>
    <w:p>
      <w:pPr>
        <w:spacing w:after="200"/>
      </w:pPr>
      <w:r>
        <w:t xml:space="preserve">Quarter performance met or exceeded expectations across most critical dimensions, validating the strategic approach and operational execution capabilities. The identified opportunities for optimization provide clear roadmap for incremental value creation in subsequent quarters. Leadership commitment to transparent communication and data-driven decision making continues to drive organizational effectiveness.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2026-02-05T08:24:44.357Z</dcterms:created>
  <dcterms:modified xsi:type="dcterms:W3CDTF">2026-02-05T08:24:44.357Z</dcterms:modified>
</cp:coreProperties>
</file>

<file path=docProps/custom.xml><?xml version="1.0" encoding="utf-8"?>
<Properties xmlns="http://schemas.openxmlformats.org/officeDocument/2006/custom-properties" xmlns:vt="http://schemas.openxmlformats.org/officeDocument/2006/docPropsVTypes"/>
</file>