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FEB-24Q2-0017</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2024-06-21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Atlas Credit throughout Q2 2024.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Customer Churn, Transaction Latency, Infra Cost, Fraud Rate</w:t>
      </w:r>
    </w:p>
    <w:p>
      <w:pPr>
        <w:pStyle w:val="Heading2"/>
        <w:spacing w:before="180" w:after="100"/>
      </w:pPr>
      <w:r>
        <w:rPr>
          <w:b/>
          <w:bCs/>
          <w:sz w:val="24"/>
          <w:szCs w:val="24"/>
        </w:rPr>
        <w:t xml:space="preserve">KPI Analysis 1</w:t>
      </w:r>
    </w:p>
    <w:p>
      <w:pPr>
        <w:spacing w:after="200"/>
      </w:pPr>
      <w:r>
        <w:t xml:space="preserve">Transaction latency metrics revealed an average response time of 63ms across all payment channels, marking a 7.1% improvement from prior benchmarks. The performance improvement can be attributed to infrastructure optimization, which enhanced system throughput and reduced processing bottlenecks. Detailed analysis indicates that 15% of transactions completed within the target SLA threshold.</w:t>
      </w:r>
    </w:p>
    <w:p>
      <w:pPr>
        <w:pStyle w:val="Heading2"/>
        <w:spacing w:before="180" w:after="100"/>
      </w:pPr>
      <w:r>
        <w:rPr>
          <w:b/>
          <w:bCs/>
          <w:sz w:val="24"/>
          <w:szCs w:val="24"/>
        </w:rPr>
        <w:t xml:space="preserve">KPI Analysis 2</w:t>
      </w:r>
    </w:p>
    <w:p>
      <w:pPr>
        <w:spacing w:after="200"/>
      </w:pPr>
      <w:r>
        <w:t xml:space="preserve">Credit approval rates achieved 0.20% during this quarter, processing a total of 58799 applications through automated and manual review channels. The approval criteria balanced risk appetite with growth objectives, resulting in a default rate of 1.91% among newly approved accounts. Underwriting efficiency improved by 7.1%, reducing average decision time to 17 hours.</w:t>
      </w:r>
    </w:p>
    <w:p>
      <w:pPr>
        <w:pStyle w:val="Heading2"/>
        <w:spacing w:before="180" w:after="100"/>
      </w:pPr>
      <w:r>
        <w:rPr>
          <w:b/>
          <w:bCs/>
          <w:sz w:val="24"/>
          <w:szCs w:val="24"/>
        </w:rPr>
        <w:t xml:space="preserve">KPI Analysis 3</w:t>
      </w:r>
    </w:p>
    <w:p>
      <w:pPr>
        <w:spacing w:after="200"/>
      </w:pPr>
      <w:r>
        <w:t xml:space="preserve">Customer churn analysis indicates a retention rate of 96.2%, with 552 customers discontinuing service during the reporting period. Primary churn drivers included pricing concerns, accounting for 15% of total attrition. Proactive retention initiatives managed to save approximately 15%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Fraud detection capabilities showed strong performance this quarter, with the overall fraud rate measuring 0.20% of total transaction volume. The fraud prevention systems successfully identified and blocked $3.6M in potentially fraudulent activities. Enhanced machine learning models contributed to a 7.1%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16 months with projected annual savings of $312.3M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$312.3M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$11.1M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operational efficiency and opportunities for improvement in system scalability.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2026-02-05T08:24:44.388Z</dcterms:created>
  <dcterms:modified xsi:type="dcterms:W3CDTF">2026-02-05T08:24:44.388Z</dcterms:modified>
</cp:coreProperties>
</file>

<file path=docProps/custom.xml><?xml version="1.0" encoding="utf-8"?>
<Properties xmlns="http://schemas.openxmlformats.org/officeDocument/2006/custom-properties" xmlns:vt="http://schemas.openxmlformats.org/officeDocument/2006/docPropsVTypes"/>
</file>