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Performance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FEB-24Q2-0018</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2024-04-27</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Q2 2024</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Atlas Credit</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Aarav</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Director Engineering</w:t>
            </w:r>
          </w:p>
        </w:tc>
      </w:tr>
    </w:tbl>
    <w:p>
      <w:pPr>
        <w:spacing w:after="300"/>
      </w:pPr>
    </w:p>
    <w:p>
      <w:pPr>
        <w:pStyle w:val="Heading1"/>
        <w:spacing w:before="240" w:after="120"/>
      </w:pPr>
      <w:r>
        <w:rPr>
          <w:b/>
          <w:bCs/>
          <w:sz w:val="28"/>
          <w:szCs w:val="28"/>
        </w:rPr>
        <w:t xml:space="preserve">Executive Summary</w:t>
      </w:r>
    </w:p>
    <w:p>
      <w:pPr>
        <w:spacing w:after="200"/>
      </w:pPr>
      <w:r>
        <w:t xml:space="preserve">The present document serves as a detailed examination of Atlas Credit activities throughout Q2 2024. Our assessment covers critical performance indicators, identifies emerging challenges, and highlights opportunities for optimization and growth.</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Revenue, Approval Rate</w:t>
      </w:r>
    </w:p>
    <w:p>
      <w:pPr>
        <w:pStyle w:val="Heading2"/>
        <w:spacing w:before="180" w:after="100"/>
      </w:pPr>
      <w:r>
        <w:rPr>
          <w:b/>
          <w:bCs/>
          <w:sz w:val="24"/>
          <w:szCs w:val="24"/>
        </w:rPr>
        <w:t xml:space="preserve">KPI Analysis 1</w:t>
      </w:r>
    </w:p>
    <w:p>
      <w:pPr>
        <w:spacing w:after="200"/>
      </w:pPr>
      <w:r>
        <w:t xml:space="preserve">Credit approval rates achieved 0.32% during this quarter, processing a total of 24287 applications through automated and manual review channels. The approval criteria balanced risk appetite with growth objectives, resulting in a default rate of 1.15% among newly approved accounts. Underwriting efficiency improved by 15.4%, reducing average decision time to 12 hours.</w:t>
      </w:r>
    </w:p>
    <w:p>
      <w:pPr>
        <w:pStyle w:val="Heading2"/>
        <w:spacing w:before="180" w:after="100"/>
      </w:pPr>
      <w:r>
        <w:rPr>
          <w:b/>
          <w:bCs/>
          <w:sz w:val="24"/>
          <w:szCs w:val="24"/>
        </w:rPr>
        <w:t xml:space="preserve">KPI Analysis 2</w:t>
      </w:r>
    </w:p>
    <w:p>
      <w:pPr>
        <w:spacing w:after="200"/>
      </w:pPr>
      <w:r>
        <w:t xml:space="preserve">Transaction latency metrics revealed an average response time of 47ms across all payment channels, marking a 15.4% growth from prior benchmarks. The performance improvement can be attributed to infrastructure optimization, which enhanced system throughput and reduced processing bottlenecks. Detailed analysis indicates that 20% of transactions completed within the target SLA threshold.</w:t>
      </w:r>
    </w:p>
    <w:p>
      <w:pPr>
        <w:pStyle w:val="Heading2"/>
        <w:spacing w:before="180" w:after="100"/>
      </w:pPr>
      <w:r>
        <w:rPr>
          <w:b/>
          <w:bCs/>
          <w:sz w:val="24"/>
          <w:szCs w:val="24"/>
        </w:rPr>
        <w:t xml:space="preserve">KPI Analysis 3</w:t>
      </w:r>
    </w:p>
    <w:p>
      <w:pPr>
        <w:spacing w:after="200"/>
      </w:pPr>
      <w:r>
        <w:t xml:space="preserve">Revenue generation for this period demonstrated positive momentum, with total realized revenue reaching $284.1M, representing a 15.4% growth compared to the previous quarter. This performance was primarily driven by market expansion, which contributed significantly to the overall financial outcome. The revenue trajectory indicates sustainable growth, suggesting sustained momentum in market penetration and customer value realization.</w:t>
      </w:r>
    </w:p>
    <w:p>
      <w:pPr>
        <w:pStyle w:val="Heading2"/>
        <w:spacing w:before="180" w:after="100"/>
      </w:pPr>
      <w:r>
        <w:rPr>
          <w:b/>
          <w:bCs/>
          <w:sz w:val="24"/>
          <w:szCs w:val="24"/>
        </w:rPr>
        <w:t xml:space="preserve">KPI Analysis 4</w:t>
      </w:r>
    </w:p>
    <w:p>
      <w:pPr>
        <w:spacing w:after="200"/>
      </w:pPr>
      <w:r>
        <w:t xml:space="preserve">Customer churn analysis indicates a retention rate of 93.6%, with 506 customers discontinuing service during the reporting period. Primary churn drivers included pricing concerns, accounting for 20% of total attrition. Proactive retention initiatives managed to save approximately 20% of at-risk customers through targeted engagement and service improvements.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Legacy system integration complexities surfaced during the deployment of new platform capabilities, requiring extensive compatibility testing and interface development. The technical debt accumulated in older systems became a limiting factor for innovation velocity, prompting strategic discussions about modernization priorities and investment allocation.</w:t>
      </w:r>
    </w:p>
    <w:p>
      <w:pPr>
        <w:pStyle w:val="Heading2"/>
        <w:spacing w:before="180" w:after="100"/>
      </w:pPr>
      <w:r>
        <w:rPr>
          <w:b/>
          <w:bCs/>
          <w:sz w:val="24"/>
          <w:szCs w:val="24"/>
        </w:rPr>
        <w:t xml:space="preserve">Challenge 2</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The project team successfully delivered a major platform upgrade that significantly enhanced system capabilities and user experience. The implementation was completed ahead of schedule and under budget, demonstrating exceptional project execution and stakeholder coordination. Post-deployment metrics indicated immediate positive impact on key performance indicators and user satisfaction scores.</w:t>
      </w:r>
    </w:p>
    <w:p>
      <w:pPr>
        <w:pStyle w:val="Heading2"/>
        <w:spacing w:before="180" w:after="100"/>
      </w:pPr>
      <w:r>
        <w:rPr>
          <w:b/>
          <w:bCs/>
          <w:sz w:val="24"/>
          <w:szCs w:val="24"/>
        </w:rPr>
        <w:t xml:space="preserve">Achievement 2</w:t>
      </w:r>
    </w:p>
    <w:p>
      <w:pPr>
        <w:spacing w:after="200"/>
      </w:pPr>
      <w:r>
        <w:t xml:space="preserve">Strategic partnership establishment with a leading technology provider unlocked new capabilities and market opportunities. The collaboration agreement enables access to advanced analytics tools and expands the addressable customer segment. Initial pilot programs demonstrated strong customer interest and validated the strategic value of the partnership arrangement.</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Establish dedicated innovation team to explore emerging technologies and business model innovations. The rapidly evolving competitive landscape requires systematic approach to identifying disruptive opportunities and threats. Recommended team size of 10 professionals with cross-functional expertise and appropriate experimentation budget.</w:t>
      </w:r>
    </w:p>
    <w:p>
      <w:pPr>
        <w:pStyle w:val="Heading2"/>
        <w:spacing w:before="180" w:after="100"/>
      </w:pPr>
      <w:r>
        <w:rPr>
          <w:b/>
          <w:bCs/>
          <w:sz w:val="24"/>
          <w:szCs w:val="24"/>
        </w:rPr>
        <w:t xml:space="preserve">Recommendation 2</w:t>
      </w:r>
    </w:p>
    <w:p>
      <w:pPr>
        <w:spacing w:after="200"/>
      </w:pPr>
      <w:r>
        <w:t xml:space="preserve">Accelerate cloud infrastructure migration to enhance scalability, reliability, and cost efficiency. The transition should prioritize customer-facing systems and adopt a phased approach that minimizes service disruption. Estimated completion timeline of 7 months with projected annual savings of $284.1M upon full implementation.</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$284.1M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47ms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0.32%</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6.4%</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74.6%</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$10.5M</w:t>
            </w:r>
          </w:p>
        </w:tc>
      </w:tr>
    </w:tbl>
    <w:p>
      <w:pPr>
        <w:pStyle w:val="Heading1"/>
        <w:spacing w:before="240" w:after="120"/>
      </w:pPr>
      <w:r>
        <w:rPr>
          <w:b/>
          <w:bCs/>
          <w:sz w:val="28"/>
          <w:szCs w:val="28"/>
        </w:rPr>
        <w:t xml:space="preserve">Conclusion</w:t>
      </w:r>
    </w:p>
    <w:p>
      <w:pPr>
        <w:spacing w:after="200"/>
      </w:pPr>
      <w:r>
        <w:t xml:space="preserve">The findings and recommendations outlined in this report provide actionable insights for stakeholders across the organization. Implementation of the proposed initiatives will require coordinated effort and sustained focus, but the potential value creation justifies the required investment. Regular progress tracking and course correction mechanisms will ensure achievement of desired outcomes.</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2026-02-05T08:24:44.396Z</dcterms:created>
  <dcterms:modified xsi:type="dcterms:W3CDTF">2026-02-05T08:24:44.396Z</dcterms:modified>
</cp:coreProperties>
</file>

<file path=docProps/custom.xml><?xml version="1.0" encoding="utf-8"?>
<Properties xmlns="http://schemas.openxmlformats.org/officeDocument/2006/custom-properties" xmlns:vt="http://schemas.openxmlformats.org/officeDocument/2006/docPropsVTypes"/>
</file>