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Project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FEB-24Q2-0023</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2024-04-09</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Neha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Manager</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Atlas Credit operations for Q2 2024.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Revenue, Infra Cost, Regulatory Risk, Customer Churn, Transaction Latency</w:t>
      </w:r>
    </w:p>
    <w:p>
      <w:pPr>
        <w:pStyle w:val="Heading2"/>
        <w:spacing w:before="180" w:after="100"/>
      </w:pPr>
      <w:r>
        <w:rPr>
          <w:b/>
          <w:bCs/>
          <w:sz w:val="24"/>
          <w:szCs w:val="24"/>
        </w:rPr>
        <w:t xml:space="preserve">KPI Analysis 1</w:t>
      </w:r>
    </w:p>
    <w:p>
      <w:pPr>
        <w:spacing w:after="200"/>
      </w:pPr>
      <w:r>
        <w:t xml:space="preserve">Infrastructure cost optimization initiatives yielded significant results, with total operational expenditure of $331.2M representing a 12.5% increase from forecast. Cloud resource optimization, improved capacity planning, and strategic vendor negotiations contributed to the cost efficiency gains. The cost-per-transaction metric improved to $0.053, supporting improved unit economics.</w:t>
      </w:r>
    </w:p>
    <w:p>
      <w:pPr>
        <w:pStyle w:val="Heading2"/>
        <w:spacing w:before="180" w:after="100"/>
      </w:pPr>
      <w:r>
        <w:rPr>
          <w:b/>
          <w:bCs/>
          <w:sz w:val="24"/>
          <w:szCs w:val="24"/>
        </w:rPr>
        <w:t xml:space="preserve">KPI Analysis 2</w:t>
      </w:r>
    </w:p>
    <w:p>
      <w:pPr>
        <w:spacing w:after="200"/>
      </w:pPr>
      <w:r>
        <w:t xml:space="preserve">Transaction latency metrics revealed an average response time of 63ms across all payment channels, marking a 12.5% increase from prior benchmarks. The performance improvement can be attributed to network optimization, which enhanced system throughput and reduced processing bottlenecks. Detailed analysis indicates that 46% of transactions completed within the target SLA threshold.</w:t>
      </w:r>
    </w:p>
    <w:p>
      <w:pPr>
        <w:pStyle w:val="Heading2"/>
        <w:spacing w:before="180" w:after="100"/>
      </w:pPr>
      <w:r>
        <w:rPr>
          <w:b/>
          <w:bCs/>
          <w:sz w:val="24"/>
          <w:szCs w:val="24"/>
        </w:rPr>
        <w:t xml:space="preserve">KPI Analysis 3</w:t>
      </w:r>
    </w:p>
    <w:p>
      <w:pPr>
        <w:spacing w:after="200"/>
      </w:pPr>
      <w:r>
        <w:t xml:space="preserve">Revenue generation for this period demonstrated stable momentum, with total realized revenue reaching $331.2M, representing a 12.5% increase compared to the previous quarter. This performance was primarily driven by market expansion, which contributed significantly to the overall financial outcome. The revenue trajectory indicates continued expansion, suggesting sustained momentum in market penetration and customer value realization.</w:t>
      </w:r>
    </w:p>
    <w:p>
      <w:pPr>
        <w:pStyle w:val="Heading2"/>
        <w:spacing w:before="180" w:after="100"/>
      </w:pPr>
      <w:r>
        <w:rPr>
          <w:b/>
          <w:bCs/>
          <w:sz w:val="24"/>
          <w:szCs w:val="24"/>
        </w:rPr>
        <w:t xml:space="preserve">KPI Analysis 4</w:t>
      </w:r>
    </w:p>
    <w:p>
      <w:pPr>
        <w:spacing w:after="200"/>
      </w:pPr>
      <w:r>
        <w:t xml:space="preserve">Regulatory risk assessment identified 7 areas requiring enhanced monitoring and control frameworks. The compliance team successfully addressed 10 previously identified issues while implementing 3 additional safeguards. All regulatory reporting obligations were met within prescribed deadlines, with zero material findings from external audits.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$331.2M with focus on technical and leadership capability development.</w:t>
      </w:r>
    </w:p>
    <w:p>
      <w:pPr>
        <w:pStyle w:val="Heading2"/>
        <w:spacing w:before="180" w:after="100"/>
      </w:pPr>
      <w:r>
        <w:rPr>
          <w:b/>
          <w:bCs/>
          <w:sz w:val="24"/>
          <w:szCs w:val="24"/>
        </w:rPr>
        <w:t xml:space="preserve">Recommendation 2</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$331.2M annually to maintain appropriate security maturity level.</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$331.2M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63ms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77.3%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$10.3M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financial performance and opportunities for improvement in process automation.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2026-02-05T08:24:44.438Z</dcterms:created>
  <dcterms:modified xsi:type="dcterms:W3CDTF">2026-02-05T08:24:44.438Z</dcterms:modified>
</cp:coreProperties>
</file>

<file path=docProps/custom.xml><?xml version="1.0" encoding="utf-8"?>
<Properties xmlns="http://schemas.openxmlformats.org/officeDocument/2006/custom-properties" xmlns:vt="http://schemas.openxmlformats.org/officeDocument/2006/docPropsVTypes"/>
</file>