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FEB-24Q2-0043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2024-06-20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Neptune Payments outcomes achieved during Q2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Revenue, Fraud Rate, Approval Rate, Regulatory Risk</w:t>
      </w:r>
    </w:p>
    <w:p>
      <w:pPr>
        <w:pStyle w:val="Heading2"/>
        <w:spacing w:before="180" w:after="100"/>
      </w:pPr>
      <w:r>
        <w:rPr>
          <w:b/>
          <w:bCs/>
          <w:sz w:val="24"/>
          <w:szCs w:val="24"/>
        </w:rPr>
        <w:t xml:space="preserve">KPI Analysis 1</w:t>
      </w:r>
    </w:p>
    <w:p>
      <w:pPr>
        <w:spacing w:after="200"/>
      </w:pPr>
      <w:r>
        <w:t xml:space="preserve">Revenue generation for this period demonstrated stable momentum, with total realized revenue reaching $284.3M, representing a 12.9% improvement compared to the previous quarter. This performance was primarily driven by operational efficiency,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46ms across all payment channels, marking a 12.9% improvement from prior benchmarks. The performance improvement can be attributed to algorithm improvements, which enhanced system throughput and reduced processing bottlenecks. Detailed analysis indicates that 32% of transactions completed within the target SLA threshold.</w:t>
      </w:r>
    </w:p>
    <w:p>
      <w:pPr>
        <w:pStyle w:val="Heading2"/>
        <w:spacing w:before="180" w:after="100"/>
      </w:pPr>
      <w:r>
        <w:rPr>
          <w:b/>
          <w:bCs/>
          <w:sz w:val="24"/>
          <w:szCs w:val="24"/>
        </w:rPr>
        <w:t xml:space="preserve">KPI Analysis 3</w:t>
      </w:r>
    </w:p>
    <w:p>
      <w:pPr>
        <w:spacing w:after="200"/>
      </w:pPr>
      <w:r>
        <w:t xml:space="preserve">Customer churn analysis indicates a retention rate of 93.1%, with 477 customers discontinuing service during the reporting period. Primary churn drivers included service issues, accounting for 32% of total attrition. Proactive retention initiatives managed to save approximately 32%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$284.3M representing a 12.9% improvement from forecast. Cloud resource optimization, improved capacity planning, and strategic vendor negotiations contributed to the cost efficiency gains. The cost-per-transaction metric improved to $0.060,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$284.3M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Fraud detection algorithm refinements resulted in a 32% improvement in identification accuracy while reducing false positive rates by 32%.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14 months with projected annual savings of $284.3M upon full implementation.</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$284.3M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$284.3M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Neptune Payments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2026-02-05T08:24:44.598Z</dcterms:created>
  <dcterms:modified xsi:type="dcterms:W3CDTF">2026-02-05T08:24:44.598Z</dcterms:modified>
</cp:coreProperties>
</file>

<file path=docProps/custom.xml><?xml version="1.0" encoding="utf-8"?>
<Properties xmlns="http://schemas.openxmlformats.org/officeDocument/2006/custom-properties" xmlns:vt="http://schemas.openxmlformats.org/officeDocument/2006/docPropsVTypes"/>
</file>