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FEB-24Q2-0048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Q2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Infra Cost, Customer Churn, Regulatory Risk, Revenue</w:t>
      </w:r>
    </w:p>
    <w:p>
      <w:pPr>
        <w:pStyle w:val="Heading2"/>
        <w:spacing w:before="180" w:after="100"/>
      </w:pPr>
      <w:r>
        <w:rPr>
          <w:b/>
          <w:bCs/>
          <w:sz w:val="24"/>
          <w:szCs w:val="24"/>
        </w:rPr>
        <w:t xml:space="preserve">KPI Analysis 1</w:t>
      </w:r>
    </w:p>
    <w:p>
      <w:pPr>
        <w:spacing w:after="200"/>
      </w:pPr>
      <w:r>
        <w:t xml:space="preserve">Credit approval rates achieved 0.31% during this quarter, processing a total of 38622 applications through automated and manual review channels. The approval criteria balanced risk appetite with growth objectives, resulting in a default rate of 1.08% among newly approved accounts. Underwriting efficiency improved by 5.3%, reducing average decision time to 7 hours.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$262.8M representing a 5.3% improvement from forecast. Cloud resource optimization, improved capacity planning, and strategic vendor negotiations contributed to the cost efficiency gains. The cost-per-transaction metric improved to $0.064, supporting improved unit economics.</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$262.8M, representing a 5.3% improvement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71ms across all payment channels, marking a 5.3% improvement from prior benchmarks. The performance improvement can be attributed to caching strategies, which enhanced system throughput and reduced processing bottlenecks. Detailed analysis indicates that 49%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$262.8M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$262.8M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10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$262.8M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Q2 2024 with notable achievements in risk management while navigating challenges in regulatory compliance. The strategic priorities for the coming quarter focus on optimizing costs,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2026-02-05T08:24:44.636Z</dcterms:created>
  <dcterms:modified xsi:type="dcterms:W3CDTF">2026-02-05T08:24:44.636Z</dcterms:modified>
</cp:coreProperties>
</file>

<file path=docProps/custom.xml><?xml version="1.0" encoding="utf-8"?>
<Properties xmlns="http://schemas.openxmlformats.org/officeDocument/2006/custom-properties" xmlns:vt="http://schemas.openxmlformats.org/officeDocument/2006/docPropsVTypes"/>
</file>