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FEB-24Q2-0050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2024-06-27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Zenith Risk operations for Q2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Transaction Latency, Regulatory Risk, Revenue, Fraud Rate</w:t>
      </w:r>
    </w:p>
    <w:p>
      <w:pPr>
        <w:pStyle w:val="Heading2"/>
        <w:spacing w:before="180" w:after="100"/>
      </w:pPr>
      <w:r>
        <w:rPr>
          <w:b/>
          <w:bCs/>
          <w:sz w:val="24"/>
          <w:szCs w:val="24"/>
        </w:rPr>
        <w:t xml:space="preserve">KPI Analysis 1</w:t>
      </w:r>
    </w:p>
    <w:p>
      <w:pPr>
        <w:spacing w:after="200"/>
      </w:pPr>
      <w:r>
        <w:t xml:space="preserve">Transaction latency metrics revealed an average response time of 71ms across all payment channels, marking a 11.5% improvement from prior benchmarks. The performance improvement can be attributed to network optimization, which enhanced system throughput and reduced processing bottlenecks. Detailed analysis indicates that 19% of transactions completed within the target SLA threshold.</w:t>
      </w:r>
    </w:p>
    <w:p>
      <w:pPr>
        <w:pStyle w:val="Heading2"/>
        <w:spacing w:before="180" w:after="100"/>
      </w:pPr>
      <w:r>
        <w:rPr>
          <w:b/>
          <w:bCs/>
          <w:sz w:val="24"/>
          <w:szCs w:val="24"/>
        </w:rPr>
        <w:t xml:space="preserve">KPI Analysis 2</w:t>
      </w:r>
    </w:p>
    <w:p>
      <w:pPr>
        <w:spacing w:after="200"/>
      </w:pPr>
      <w:r>
        <w:t xml:space="preserve">Customer churn analysis indicates a retention rate of 95.5%, with 245 customers discontinuing service during the reporting period. Primary churn drivers included service issues, accounting for 19% of total attrition. Proactive retention initiatives managed to save approximately 19%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Credit approval rates achieved 0.20% during this quarter, processing a total of 32108 applications through automated and manual review channels. The approval criteria balanced risk appetite with growth objectives, resulting in a default rate of 2.47% among newly approved accounts. Underwriting efficiency improved by 11.5%, reducing average decision time to 12 hours.</w:t>
      </w:r>
    </w:p>
    <w:p>
      <w:pPr>
        <w:pStyle w:val="Heading2"/>
        <w:spacing w:before="180" w:after="100"/>
      </w:pPr>
      <w:r>
        <w:rPr>
          <w:b/>
          <w:bCs/>
          <w:sz w:val="24"/>
          <w:szCs w:val="24"/>
        </w:rPr>
        <w:t xml:space="preserve">KPI Analysis 4</w:t>
      </w:r>
    </w:p>
    <w:p>
      <w:pPr>
        <w:spacing w:after="200"/>
      </w:pPr>
      <w:r>
        <w:t xml:space="preserve">Revenue generation for this period demonstrated moderate momentum, with total realized revenue reaching $292.5M, representing a 11.5% improvement compared to the previous quarter. This performance was primarily driven by market expansion, which contributed significantly to the overall financial outcome. The revenue trajectory indicates positive momentum,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19% improvement in identification accuracy while reducing false positive rates by 19%.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Cost optimization programs exceeded targets, delivering $292.5M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10 months with projected annual savings of $292.5M upon full implementation.</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12 opportunities for automation and simplification that could reduce average onboarding time by 19%.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$292.5M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$11.5M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2026-02-05T08:24:44.651Z</dcterms:created>
  <dcterms:modified xsi:type="dcterms:W3CDTF">2026-02-05T08:24:44.651Z</dcterms:modified>
</cp:coreProperties>
</file>

<file path=docProps/custom.xml><?xml version="1.0" encoding="utf-8"?>
<Properties xmlns="http://schemas.openxmlformats.org/officeDocument/2006/custom-properties" xmlns:vt="http://schemas.openxmlformats.org/officeDocument/2006/docPropsVTypes"/>
</file>