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Strategic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FEB-25Q2-0002</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2025-04-09</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Q2 2025</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Orion Fraud</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Kavya</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Risk Manager</w:t>
            </w:r>
          </w:p>
        </w:tc>
      </w:tr>
    </w:tbl>
    <w:p>
      <w:pPr>
        <w:spacing w:after="300"/>
      </w:pPr>
    </w:p>
    <w:p>
      <w:pPr>
        <w:pStyle w:val="Heading1"/>
        <w:spacing w:before="240" w:after="120"/>
      </w:pPr>
      <w:r>
        <w:rPr>
          <w:b/>
          <w:bCs/>
          <w:sz w:val="28"/>
          <w:szCs w:val="28"/>
        </w:rPr>
        <w:t xml:space="preserve">Executive Summary</w:t>
      </w:r>
    </w:p>
    <w:p>
      <w:pPr>
        <w:spacing w:after="200"/>
      </w:pPr>
      <w:r>
        <w:t xml:space="preserve">This report documents the operational and strategic performance of Orion Fraud throughout Q2 2025. The analysis examines key performance indicators, evaluates risk factors, and assesses alignment with enterprise-wide objectives and compliance requirements.</w:t>
      </w:r>
    </w:p>
    <w:p>
      <w:pPr>
        <w:pStyle w:val="Heading1"/>
        <w:spacing w:before="240" w:after="120"/>
      </w:pPr>
      <w:r>
        <w:rPr>
          <w:b/>
          <w:bCs/>
          <w:sz w:val="28"/>
          <w:szCs w:val="28"/>
        </w:rPr>
        <w:t xml:space="preserve">Key Performance Indicators</w:t>
      </w:r>
    </w:p>
    <w:p>
      <w:pPr>
        <w:spacing w:after="200"/>
      </w:pPr>
      <w:r>
        <w:rPr>
          <w:i/>
          <w:iCs/>
        </w:rPr>
        <w:t xml:space="preserve">Focus Areas: Customer Churn, Regulatory Risk, Transaction Latency, Approval Rate, Infra Cost</w:t>
      </w:r>
    </w:p>
    <w:p>
      <w:pPr>
        <w:pStyle w:val="Heading2"/>
        <w:spacing w:before="180" w:after="100"/>
      </w:pPr>
      <w:r>
        <w:rPr>
          <w:b/>
          <w:bCs/>
          <w:sz w:val="24"/>
          <w:szCs w:val="24"/>
        </w:rPr>
        <w:t xml:space="preserve">KPI Analysis 1</w:t>
      </w:r>
    </w:p>
    <w:p>
      <w:pPr>
        <w:spacing w:after="200"/>
      </w:pPr>
      <w:r>
        <w:t xml:space="preserve">Fraud detection capabilities showed improving performance this quarter, with the overall fraud rate measuring 0.13% of total transaction volume. The fraud prevention systems successfully identified and blocked $1.4M in potentially fraudulent activities. Enhanced machine learning models contributed to a 24.0% improvement in detection accuracy while maintaining low false positive rates.</w:t>
      </w:r>
    </w:p>
    <w:p>
      <w:pPr>
        <w:pStyle w:val="Heading2"/>
        <w:spacing w:before="180" w:after="100"/>
      </w:pPr>
      <w:r>
        <w:rPr>
          <w:b/>
          <w:bCs/>
          <w:sz w:val="24"/>
          <w:szCs w:val="24"/>
        </w:rPr>
        <w:t xml:space="preserve">KPI Analysis 2</w:t>
      </w:r>
    </w:p>
    <w:p>
      <w:pPr>
        <w:spacing w:after="200"/>
      </w:pPr>
      <w:r>
        <w:t xml:space="preserve">Customer churn analysis indicates a retention rate of 95.1%, with 139 customers discontinuing service during the reporting period. Primary churn drivers included feature gaps, accounting for 29% of total attrition. Proactive retention initiatives managed to save approximately 29% of at-risk customers through targeted engagement and service improvements.</w:t>
      </w:r>
    </w:p>
    <w:p>
      <w:pPr>
        <w:pStyle w:val="Heading2"/>
        <w:spacing w:before="180" w:after="100"/>
      </w:pPr>
      <w:r>
        <w:rPr>
          <w:b/>
          <w:bCs/>
          <w:sz w:val="24"/>
          <w:szCs w:val="24"/>
        </w:rPr>
        <w:t xml:space="preserve">KPI Analysis 3</w:t>
      </w:r>
    </w:p>
    <w:p>
      <w:pPr>
        <w:spacing w:after="200"/>
      </w:pPr>
      <w:r>
        <w:t xml:space="preserve">Credit approval rates achieved 0.13% during this quarter, processing a total of 38131 applications through automated and manual review channels. The approval criteria balanced risk appetite with growth objectives, resulting in a default rate of 2.27% among newly approved accounts. Underwriting efficiency improved by 24.0%, reducing average decision time to 7 hours.</w:t>
      </w:r>
    </w:p>
    <w:p>
      <w:pPr>
        <w:pStyle w:val="Heading2"/>
        <w:spacing w:before="180" w:after="100"/>
      </w:pPr>
      <w:r>
        <w:rPr>
          <w:b/>
          <w:bCs/>
          <w:sz w:val="24"/>
          <w:szCs w:val="24"/>
        </w:rPr>
        <w:t xml:space="preserve">KPI Analysis 4</w:t>
      </w:r>
    </w:p>
    <w:p>
      <w:pPr>
        <w:spacing w:after="200"/>
      </w:pPr>
      <w:r>
        <w:t xml:space="preserve">Transaction latency metrics revealed an average response time of 64ms across all payment channels, marking a 24.0% improvement from prior benchmarks. The performance improvement can be attributed to database tuning, which enhanced system throughput and reduced processing bottlenecks. Detailed analysis indicates that 29% of transactions completed within the target SLA threshold.</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Several operational challenges emerged during the quarter that required immediate attention and remediation. System scalability constraints became apparent during peak transaction periods, necessitating infrastructure upgrades and architectural refinements. The engineering team implemented emergency capacity enhancements while developing longer-term solutions to address underlying limitations.</w:t>
      </w:r>
    </w:p>
    <w:p>
      <w:pPr>
        <w:pStyle w:val="Heading2"/>
        <w:spacing w:before="180" w:after="100"/>
      </w:pPr>
      <w:r>
        <w:rPr>
          <w:b/>
          <w:bCs/>
          <w:sz w:val="24"/>
          <w:szCs w:val="24"/>
        </w:rPr>
        <w:t xml:space="preserve">Challenge 2</w:t>
      </w:r>
    </w:p>
    <w:p>
      <w:pPr>
        <w:spacing w:after="200"/>
      </w:pPr>
      <w:r>
        <w:t xml:space="preserve">Data quality issues in the customer information database created complications for analytics and reporting workflows. Approximately 29% of records required remediation due to incomplete or inconsistent data elements. A comprehensive data cleansing initiative was launched, establishing new validation protocols and improving upstream data capture mechanisms.</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Regulatory compliance audit concluded with zero critical findings and commendations for control framework maturity and documentation quality. The compliance team's proactive approach to requirement interpretation and implementation established FinEdge Bank as an industry leader in governance practices. This outcome strengthens stakeholder confidence and competitive positioning.</w:t>
      </w:r>
    </w:p>
    <w:p>
      <w:pPr>
        <w:pStyle w:val="Heading2"/>
        <w:spacing w:before="180" w:after="100"/>
      </w:pPr>
      <w:r>
        <w:rPr>
          <w:b/>
          <w:bCs/>
          <w:sz w:val="24"/>
          <w:szCs w:val="24"/>
        </w:rPr>
        <w:t xml:space="preserve">Achievement 2</w:t>
      </w:r>
    </w:p>
    <w:p>
      <w:pPr>
        <w:spacing w:after="200"/>
      </w:pPr>
      <w:r>
        <w:t xml:space="preserve">New product launch exceeded initial adoption targets by 29%, with 12 customers onboarded in the first 29 days. The go-to-market strategy successfully addressed customer pain points and differentiated the offering from competitive alternatives. Early usage patterns and feedback provide strong indicators for sustained growth trajectory.</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Strengthen cybersecurity posture through enhanced monitoring tools, incident response capabilities, and security awareness training programs. The threat landscape evolution requires continuous investment in defensive capabilities and proactive threat hunting. Recommended budget allocation of $681.4M annually to maintain appropriate security maturity level.</w:t>
      </w:r>
    </w:p>
    <w:p>
      <w:pPr>
        <w:pStyle w:val="Heading2"/>
        <w:spacing w:before="180" w:after="100"/>
      </w:pPr>
      <w:r>
        <w:rPr>
          <w:b/>
          <w:bCs/>
          <w:sz w:val="24"/>
          <w:szCs w:val="24"/>
        </w:rPr>
        <w:t xml:space="preserve">Recommendation 2</w:t>
      </w:r>
    </w:p>
    <w:p>
      <w:pPr>
        <w:spacing w:after="200"/>
      </w:pPr>
      <w:r>
        <w:t xml:space="preserve">Optimize customer onboarding workflows to reduce friction and improve conversion rates. Current process analysis identified 12 opportunities for automation and simplification that could reduce average onboarding time by 29%. Improved onboarding experience will positively impact customer acquisition costs and lifetime value metrics.</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$681.4M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64ms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0.13%</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4.9%</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70.1%</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$9.8M</w:t>
            </w:r>
          </w:p>
        </w:tc>
      </w:tr>
    </w:tbl>
    <w:p>
      <w:pPr>
        <w:pStyle w:val="Heading1"/>
        <w:spacing w:before="240" w:after="120"/>
      </w:pPr>
      <w:r>
        <w:rPr>
          <w:b/>
          <w:bCs/>
          <w:sz w:val="28"/>
          <w:szCs w:val="28"/>
        </w:rPr>
        <w:t xml:space="preserve">Conclusion</w:t>
      </w:r>
    </w:p>
    <w:p>
      <w:pPr>
        <w:spacing w:after="200"/>
      </w:pPr>
      <w:r>
        <w:t xml:space="preserve">The findings and recommendations outlined in this report provide actionable insights for stakeholders across the organization. Implementation of the proposed initiatives will require coordinated effort and sustained focus, but the potential value creation justifies the required investment. Regular progress tracking and course correction mechanisms will ensure achievement of desired outcomes.</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2026-02-05T08:24:45.971Z</dcterms:created>
  <dcterms:modified xsi:type="dcterms:W3CDTF">2026-02-05T08:24:45.971Z</dcterms:modified>
</cp:coreProperties>
</file>

<file path=docProps/custom.xml><?xml version="1.0" encoding="utf-8"?>
<Properties xmlns="http://schemas.openxmlformats.org/officeDocument/2006/custom-properties" xmlns:vt="http://schemas.openxmlformats.org/officeDocument/2006/docPropsVTypes"/>
</file>