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Financial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FEB-25Q2-0005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2025-04-06</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Q2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Orion Fraud</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Ishaan</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Platform Lead</w:t>
            </w:r>
          </w:p>
        </w:tc>
      </w:tr>
    </w:tbl>
    <w:p>
      <w:pPr>
        <w:spacing w:after="300"/>
      </w:pPr>
    </w:p>
    <w:p>
      <w:pPr>
        <w:pStyle w:val="Heading1"/>
        <w:spacing w:before="240" w:after="120"/>
      </w:pPr>
      <w:r>
        <w:rPr>
          <w:b/>
          <w:bCs/>
          <w:sz w:val="28"/>
          <w:szCs w:val="28"/>
        </w:rPr>
        <w:t xml:space="preserve">Executive Summary</w:t>
      </w:r>
    </w:p>
    <w:p>
      <w:pPr>
        <w:spacing w:after="200"/>
      </w:pPr>
      <w:r>
        <w:t xml:space="preserve">The following analysis presents a thorough evaluation of Orion Fraud operations for Q2 2025. This assessment incorporates quantitative metrics, qualitative insights, and forward-looking recommendations to support informed decision-making.</w:t>
      </w:r>
    </w:p>
    <w:p>
      <w:pPr>
        <w:pStyle w:val="Heading1"/>
        <w:spacing w:before="240" w:after="120"/>
      </w:pPr>
      <w:r>
        <w:rPr>
          <w:b/>
          <w:bCs/>
          <w:sz w:val="28"/>
          <w:szCs w:val="28"/>
        </w:rPr>
        <w:t xml:space="preserve">Key Performance Indicators</w:t>
      </w:r>
    </w:p>
    <w:p>
      <w:pPr>
        <w:spacing w:after="200"/>
      </w:pPr>
      <w:r>
        <w:rPr>
          <w:i/>
          <w:iCs/>
        </w:rPr>
        <w:t xml:space="preserve">Focus Areas: Transaction Latency, Customer Churn, Regulatory Risk, Approval Rate, Infra Cost</w:t>
      </w:r>
    </w:p>
    <w:p>
      <w:pPr>
        <w:pStyle w:val="Heading2"/>
        <w:spacing w:before="180" w:after="100"/>
      </w:pPr>
      <w:r>
        <w:rPr>
          <w:b/>
          <w:bCs/>
          <w:sz w:val="24"/>
          <w:szCs w:val="24"/>
        </w:rPr>
        <w:t xml:space="preserve">KPI Analysis 1</w:t>
      </w:r>
    </w:p>
    <w:p>
      <w:pPr>
        <w:spacing w:after="200"/>
      </w:pPr>
      <w:r>
        <w:t xml:space="preserve">Regulatory risk assessment identified 8 areas requiring enhanced monitoring and control frameworks. The compliance team successfully addressed 9 previously identified issues while implementing 4 additional safeguards. All regulatory reporting obligations were met within prescribed deadlines, with zero material findings from external audits.</w:t>
      </w:r>
    </w:p>
    <w:p>
      <w:pPr>
        <w:pStyle w:val="Heading2"/>
        <w:spacing w:before="180" w:after="100"/>
      </w:pPr>
      <w:r>
        <w:rPr>
          <w:b/>
          <w:bCs/>
          <w:sz w:val="24"/>
          <w:szCs w:val="24"/>
        </w:rPr>
        <w:t xml:space="preserve">KPI Analysis 2</w:t>
      </w:r>
    </w:p>
    <w:p>
      <w:pPr>
        <w:spacing w:after="200"/>
      </w:pPr>
      <w:r>
        <w:t xml:space="preserve">Revenue generation for this period demonstrated improving momentum, with total realized revenue reaching $666.8M, representing a 17.9% improvement compared to the previous quarter. This performance was primarily driven by operational efficiency, which contributed significantly to the overall financial outcome. The revenue trajectory indicates continued expansion, suggesting sustained momentum in market penetration and customer value realization.</w:t>
      </w:r>
    </w:p>
    <w:p>
      <w:pPr>
        <w:pStyle w:val="Heading2"/>
        <w:spacing w:before="180" w:after="100"/>
      </w:pPr>
      <w:r>
        <w:rPr>
          <w:b/>
          <w:bCs/>
          <w:sz w:val="24"/>
          <w:szCs w:val="24"/>
        </w:rPr>
        <w:t xml:space="preserve">KPI Analysis 3</w:t>
      </w:r>
    </w:p>
    <w:p>
      <w:pPr>
        <w:spacing w:after="200"/>
      </w:pPr>
      <w:r>
        <w:t xml:space="preserve">Infrastructure cost optimization initiatives yielded significant results, with total operational expenditure of $666.8M representing a 17.9% improvement from forecast. Cloud resource optimization, improved capacity planning, and strategic vendor negotiations contributed to the cost efficiency gains. The cost-per-transaction metric improved to $0.059, supporting improved unit economics.</w:t>
      </w:r>
    </w:p>
    <w:p>
      <w:pPr>
        <w:pStyle w:val="Heading2"/>
        <w:spacing w:before="180" w:after="100"/>
      </w:pPr>
      <w:r>
        <w:rPr>
          <w:b/>
          <w:bCs/>
          <w:sz w:val="24"/>
          <w:szCs w:val="24"/>
        </w:rPr>
        <w:t xml:space="preserve">KPI Analysis 4</w:t>
      </w:r>
    </w:p>
    <w:p>
      <w:pPr>
        <w:spacing w:after="200"/>
      </w:pPr>
      <w:r>
        <w:t xml:space="preserve">Transaction latency metrics revealed an average response time of 47ms across all payment channels, marking a 17.9% improvement from prior benchmarks. The performance improvement can be attributed to infrastructure optimization, which enhanced system throughput and reduced processing bottlenecks. Detailed analysis indicates that 42% of transactions completed within the target SLA threshold.</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Several operational challenges emerged during the quarter that required immediate attention and remediation. System scalability constraints became apparent during peak transaction periods, necessitating infrastructure upgrades and architectural refinements. The engineering team implemented emergency capacity enhancements while developing longer-term solutions to address underlying limitations.</w:t>
      </w:r>
    </w:p>
    <w:p>
      <w:pPr>
        <w:pStyle w:val="Heading2"/>
        <w:spacing w:before="180" w:after="100"/>
      </w:pPr>
      <w:r>
        <w:rPr>
          <w:b/>
          <w:bCs/>
          <w:sz w:val="24"/>
          <w:szCs w:val="24"/>
        </w:rPr>
        <w:t xml:space="preserve">Challenge 2</w:t>
      </w:r>
    </w:p>
    <w:p>
      <w:pPr>
        <w:spacing w:after="200"/>
      </w:pPr>
      <w:r>
        <w:t xml:space="preserve">Cybersecurity threat landscape evolution necessitated enhanced protective measures and incident response capabilities. Several attempted intrusions were successfully defended, but the increasing sophistication of attack vectors highlighted the need for continuous security posture improvements and proactive threat intelligence utilization.</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Cost optimization programs exceeded targets, delivering $666.8M in identified savings through operational efficiency improvements and strategic sourcing initiatives. The finance team implemented sophisticated spend analytics and implemented zero-based budgeting approaches that improved resource allocation transparency and accountability across all functional areas.</w:t>
      </w:r>
    </w:p>
    <w:p>
      <w:pPr>
        <w:pStyle w:val="Heading2"/>
        <w:spacing w:before="180" w:after="100"/>
      </w:pPr>
      <w:r>
        <w:rPr>
          <w:b/>
          <w:bCs/>
          <w:sz w:val="24"/>
          <w:szCs w:val="24"/>
        </w:rPr>
        <w:t xml:space="preserve">Achievement 2</w:t>
      </w:r>
    </w:p>
    <w:p>
      <w:pPr>
        <w:spacing w:after="200"/>
      </w:pPr>
      <w:r>
        <w:t xml:space="preserve">Regulatory compliance audit concluded with zero critical findings and commendations for control framework maturity and documentation quality. The compliance team's proactive approach to requirement interpretation and implementation established FinEdge Bank as an industry leader in governance practices. This outcome strengthens stakeholder confidence and competitive positioning.</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Optimize customer onboarding workflows to reduce friction and improve conversion rates. Current process analysis identified 8 opportunities for automation and simplification that could reduce average onboarding time by 42%. Improved onboarding experience will positively impact customer acquisition costs and lifetime value metrics.</w:t>
      </w:r>
    </w:p>
    <w:p>
      <w:pPr>
        <w:pStyle w:val="Heading2"/>
        <w:spacing w:before="180" w:after="100"/>
      </w:pPr>
      <w:r>
        <w:rPr>
          <w:b/>
          <w:bCs/>
          <w:sz w:val="24"/>
          <w:szCs w:val="24"/>
        </w:rPr>
        <w:t xml:space="preserve">Recommendation 2</w:t>
      </w:r>
    </w:p>
    <w:p>
      <w:pPr>
        <w:spacing w:after="200"/>
      </w:pPr>
      <w:r>
        <w:t xml:space="preserve">Strengthen cybersecurity posture through enhanced monitoring tools, incident response capabilities, and security awareness training programs. The threat landscape evolution requires continuous investment in defensive capabilities and proactive threat hunting. Recommended budget allocation of $666.8M annually to maintain appropriate security maturity level.</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$666.8M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47ms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0.39%</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76.9%</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$9.7M</w:t>
            </w:r>
          </w:p>
        </w:tc>
      </w:tr>
    </w:tbl>
    <w:p>
      <w:pPr>
        <w:pStyle w:val="Heading1"/>
        <w:spacing w:before="240" w:after="120"/>
      </w:pPr>
      <w:r>
        <w:rPr>
          <w:b/>
          <w:bCs/>
          <w:sz w:val="28"/>
          <w:szCs w:val="28"/>
        </w:rPr>
        <w:t xml:space="preserve">Conclusion</w:t>
      </w:r>
    </w:p>
    <w:p>
      <w:pPr>
        <w:spacing w:after="200"/>
      </w:pPr>
      <w:r>
        <w:t xml:space="preserve">Quarter performance met or exceeded expectations across most critical dimensions, validating the strategic approach and operational execution capabilities. The identified opportunities for optimization provide clear roadmap for incremental value creation in subsequent quarters. Leadership commitment to transparent communication and data-driven decision making continues to drive organizational effectiveness.</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2026-02-05T08:24:45.993Z</dcterms:created>
  <dcterms:modified xsi:type="dcterms:W3CDTF">2026-02-05T08:24:45.993Z</dcterms:modified>
</cp:coreProperties>
</file>

<file path=docProps/custom.xml><?xml version="1.0" encoding="utf-8"?>
<Properties xmlns="http://schemas.openxmlformats.org/officeDocument/2006/custom-properties" xmlns:vt="http://schemas.openxmlformats.org/officeDocument/2006/docPropsVTypes"/>
</file>