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FinEdge Bank</w:t>
      </w:r>
    </w:p>
    <w:p>
      <w:pPr>
        <w:spacing w:after="400"/>
        <w:jc w:val="center"/>
      </w:pPr>
      <w:r>
        <w:rPr>
          <w:sz w:val="28"/>
          <w:szCs w:val="28"/>
        </w:rPr>
        <w:t xml:space="preserve">Performance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Report 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FEB-25Q2-0009</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2025-05-03</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Quarter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Q2 2025</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Project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Zenith Risk</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Rohit</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Data Lead</w:t>
            </w:r>
          </w:p>
        </w:tc>
      </w:tr>
    </w:tbl>
    <w:p>
      <w:pPr>
        <w:spacing w:after="300"/>
      </w:pPr>
    </w:p>
    <w:p>
      <w:pPr>
        <w:pStyle w:val="Heading1"/>
        <w:spacing w:before="240" w:after="120"/>
      </w:pPr>
      <w:r>
        <w:rPr>
          <w:b/>
          <w:bCs/>
          <w:sz w:val="28"/>
          <w:szCs w:val="28"/>
        </w:rPr>
        <w:t xml:space="preserve">Executive Summary</w:t>
      </w:r>
    </w:p>
    <w:p>
      <w:pPr>
        <w:spacing w:after="200"/>
      </w:pPr>
      <w:r>
        <w:t xml:space="preserve">This comprehensive report provides an in-depth analysis of Zenith Risk performance during Q2 2025. The evaluation encompasses multiple dimensions including operational efficiency, financial metrics, risk exposure, and strategic alignment with organizational objectives.</w:t>
      </w:r>
    </w:p>
    <w:p>
      <w:pPr>
        <w:pStyle w:val="Heading1"/>
        <w:spacing w:before="240" w:after="120"/>
      </w:pPr>
      <w:r>
        <w:rPr>
          <w:b/>
          <w:bCs/>
          <w:sz w:val="28"/>
          <w:szCs w:val="28"/>
        </w:rPr>
        <w:t xml:space="preserve">Key Performance Indicators</w:t>
      </w:r>
    </w:p>
    <w:p>
      <w:pPr>
        <w:spacing w:after="200"/>
      </w:pPr>
      <w:r>
        <w:rPr>
          <w:i/>
          <w:iCs/>
        </w:rPr>
        <w:t xml:space="preserve">Focus Areas: Customer Churn, Revenue, Approval Rate, Regulatory Risk</w:t>
      </w:r>
    </w:p>
    <w:p>
      <w:pPr>
        <w:pStyle w:val="Heading2"/>
        <w:spacing w:before="180" w:after="100"/>
      </w:pPr>
      <w:r>
        <w:rPr>
          <w:b/>
          <w:bCs/>
          <w:sz w:val="24"/>
          <w:szCs w:val="24"/>
        </w:rPr>
        <w:t xml:space="preserve">KPI Analysis 1</w:t>
      </w:r>
    </w:p>
    <w:p>
      <w:pPr>
        <w:spacing w:after="200"/>
      </w:pPr>
      <w:r>
        <w:t xml:space="preserve">Revenue generation for this period demonstrated strong momentum, with total realized revenue reaching $684.3M, representing a 11.8% growth compared to the previous quarter. This performance was primarily driven by operational efficiency, which contributed significantly to the overall financial outcome. The revenue trajectory indicates market opportunity, suggesting sustained momentum in market penetration and customer value realization.</w:t>
      </w:r>
    </w:p>
    <w:p>
      <w:pPr>
        <w:pStyle w:val="Heading2"/>
        <w:spacing w:before="180" w:after="100"/>
      </w:pPr>
      <w:r>
        <w:rPr>
          <w:b/>
          <w:bCs/>
          <w:sz w:val="24"/>
          <w:szCs w:val="24"/>
        </w:rPr>
        <w:t xml:space="preserve">KPI Analysis 2</w:t>
      </w:r>
    </w:p>
    <w:p>
      <w:pPr>
        <w:spacing w:after="200"/>
      </w:pPr>
      <w:r>
        <w:t xml:space="preserve">Transaction latency metrics revealed an average response time of 48ms across all payment channels, marking a 11.8% growth from prior benchmarks. The performance improvement can be attributed to algorithm improvements, which enhanced system throughput and reduced processing bottlenecks. Detailed analysis indicates that 40% of transactions completed within the target SLA threshold.</w:t>
      </w:r>
    </w:p>
    <w:p>
      <w:pPr>
        <w:pStyle w:val="Heading2"/>
        <w:spacing w:before="180" w:after="100"/>
      </w:pPr>
      <w:r>
        <w:rPr>
          <w:b/>
          <w:bCs/>
          <w:sz w:val="24"/>
          <w:szCs w:val="24"/>
        </w:rPr>
        <w:t xml:space="preserve">KPI Analysis 3</w:t>
      </w:r>
    </w:p>
    <w:p>
      <w:pPr>
        <w:spacing w:after="200"/>
      </w:pPr>
      <w:r>
        <w:t xml:space="preserve">Infrastructure cost optimization initiatives yielded significant results, with total operational expenditure of $684.3M representing a 11.8% growth from forecast. Cloud resource optimization, improved capacity planning, and strategic vendor negotiations contributed to the cost efficiency gains. The cost-per-transaction metric improved to $0.067, supporting improved unit economics.</w:t>
      </w:r>
    </w:p>
    <w:p>
      <w:pPr>
        <w:pStyle w:val="Heading2"/>
        <w:spacing w:before="180" w:after="100"/>
      </w:pPr>
      <w:r>
        <w:rPr>
          <w:b/>
          <w:bCs/>
          <w:sz w:val="24"/>
          <w:szCs w:val="24"/>
        </w:rPr>
        <w:t xml:space="preserve">KPI Analysis 4</w:t>
      </w:r>
    </w:p>
    <w:p>
      <w:pPr>
        <w:spacing w:after="200"/>
      </w:pPr>
      <w:r>
        <w:t xml:space="preserve">Credit approval rates achieved 0.17% during this quarter, processing a total of 40627 applications through automated and manual review channels. The approval criteria balanced risk appetite with growth objectives, resulting in a default rate of 1.06% among newly approved accounts. Underwriting efficiency improved by 11.8%, reducing average decision time to 19 hours.</w:t>
      </w:r>
    </w:p>
    <w:p>
      <w:pPr>
        <w:pStyle w:val="Heading1"/>
        <w:spacing w:before="240" w:after="120"/>
      </w:pPr>
      <w:r>
        <w:rPr>
          <w:b/>
          <w:bCs/>
          <w:sz w:val="28"/>
          <w:szCs w:val="28"/>
        </w:rPr>
        <w:t xml:space="preserve">Challenges and Mitigation</w:t>
      </w:r>
    </w:p>
    <w:p>
      <w:pPr>
        <w:pStyle w:val="Heading2"/>
        <w:spacing w:before="180" w:after="100"/>
      </w:pPr>
      <w:r>
        <w:rPr>
          <w:b/>
          <w:bCs/>
          <w:sz w:val="24"/>
          <w:szCs w:val="24"/>
        </w:rPr>
        <w:t xml:space="preserve">Challenge 1</w:t>
      </w:r>
    </w:p>
    <w:p>
      <w:pPr>
        <w:spacing w:after="200"/>
      </w:pPr>
      <w:r>
        <w:t xml:space="preserve">Several operational challenges emerged during the quarter that required immediate attention and remediation. System scalability constraints became apparent during peak transaction periods, necessitating infrastructure upgrades and architectural refinements. The engineering team implemented emergency capacity enhancements while developing longer-term solutions to address underlying limitations.</w:t>
      </w:r>
    </w:p>
    <w:p>
      <w:pPr>
        <w:pStyle w:val="Heading2"/>
        <w:spacing w:before="180" w:after="100"/>
      </w:pPr>
      <w:r>
        <w:rPr>
          <w:b/>
          <w:bCs/>
          <w:sz w:val="24"/>
          <w:szCs w:val="24"/>
        </w:rPr>
        <w:t xml:space="preserve">Challenge 2</w:t>
      </w:r>
    </w:p>
    <w:p>
      <w:pPr>
        <w:spacing w:after="200"/>
      </w:pPr>
      <w:r>
        <w:t xml:space="preserve">Data quality issues in the customer information database created complications for analytics and reporting workflows. Approximately 40% of records required remediation due to incomplete or inconsistent data elements. A comprehensive data cleansing initiative was launched, establishing new validation protocols and improving upstream data capture mechanisms.</w:t>
      </w:r>
    </w:p>
    <w:p>
      <w:pPr>
        <w:pStyle w:val="Heading1"/>
        <w:spacing w:before="240" w:after="120"/>
      </w:pPr>
      <w:r>
        <w:rPr>
          <w:b/>
          <w:bCs/>
          <w:sz w:val="28"/>
          <w:szCs w:val="28"/>
        </w:rPr>
        <w:t xml:space="preserve">Key Achievements</w:t>
      </w:r>
    </w:p>
    <w:p>
      <w:pPr>
        <w:pStyle w:val="Heading2"/>
        <w:spacing w:before="180" w:after="100"/>
      </w:pPr>
      <w:r>
        <w:rPr>
          <w:b/>
          <w:bCs/>
          <w:sz w:val="24"/>
          <w:szCs w:val="24"/>
        </w:rPr>
        <w:t xml:space="preserve">Achievement 1</w:t>
      </w:r>
    </w:p>
    <w:p>
      <w:pPr>
        <w:spacing w:after="200"/>
      </w:pPr>
      <w:r>
        <w:t xml:space="preserve">Cost optimization programs exceeded targets, delivering $684.3M in identified savings through operational efficiency improvements and strategic sourcing initiatives. The finance team implemented sophisticated spend analytics and implemented zero-based budgeting approaches that improved resource allocation transparency and accountability across all functional areas.</w:t>
      </w:r>
    </w:p>
    <w:p>
      <w:pPr>
        <w:pStyle w:val="Heading2"/>
        <w:spacing w:before="180" w:after="100"/>
      </w:pPr>
      <w:r>
        <w:rPr>
          <w:b/>
          <w:bCs/>
          <w:sz w:val="24"/>
          <w:szCs w:val="24"/>
        </w:rPr>
        <w:t xml:space="preserve">Achievement 2</w:t>
      </w:r>
    </w:p>
    <w:p>
      <w:pPr>
        <w:spacing w:after="200"/>
      </w:pPr>
      <w:r>
        <w:t xml:space="preserve">Strategic partnership establishment with a leading technology provider unlocked new capabilities and market opportunities. The collaboration agreement enables access to advanced analytics tools and expands the addressable customer segment. Initial pilot programs demonstrated strong customer interest and validated the strategic value of the partnership arrangement.</w:t>
      </w:r>
    </w:p>
    <w:p>
      <w:pPr>
        <w:pStyle w:val="Heading1"/>
        <w:spacing w:before="240" w:after="120"/>
      </w:pPr>
      <w:r>
        <w:rPr>
          <w:b/>
          <w:bCs/>
          <w:sz w:val="28"/>
          <w:szCs w:val="28"/>
        </w:rPr>
        <w:t xml:space="preserve">Strategic Recommendations</w:t>
      </w:r>
    </w:p>
    <w:p>
      <w:pPr>
        <w:pStyle w:val="Heading2"/>
        <w:spacing w:before="180" w:after="100"/>
      </w:pPr>
      <w:r>
        <w:rPr>
          <w:b/>
          <w:bCs/>
          <w:sz w:val="24"/>
          <w:szCs w:val="24"/>
        </w:rPr>
        <w:t xml:space="preserve">Recommendation 1</w:t>
      </w:r>
    </w:p>
    <w:p>
      <w:pPr>
        <w:spacing w:after="200"/>
      </w:pPr>
      <w:r>
        <w:t xml:space="preserve">Accelerate cloud infrastructure migration to enhance scalability, reliability, and cost efficiency. The transition should prioritize customer-facing systems and adopt a phased approach that minimizes service disruption. Estimated completion timeline of 15 months with projected annual savings of $684.3M upon full implementation.</w:t>
      </w:r>
    </w:p>
    <w:p>
      <w:pPr>
        <w:pStyle w:val="Heading2"/>
        <w:spacing w:before="180" w:after="100"/>
      </w:pPr>
      <w:r>
        <w:rPr>
          <w:b/>
          <w:bCs/>
          <w:sz w:val="24"/>
          <w:szCs w:val="24"/>
        </w:rPr>
        <w:t xml:space="preserve">Recommendation 2</w:t>
      </w:r>
    </w:p>
    <w:p>
      <w:pPr>
        <w:spacing w:after="200"/>
      </w:pPr>
      <w:r>
        <w:t xml:space="preserve">Implement advanced analytics capabilities to derive deeper insights from transaction data and customer behavior patterns. The investment in machine learning infrastructure and data science talent will enable more sophisticated risk modeling, personalized customer experiences, and proactive issue identification. Expected ROI timeline of 15 months with multiple value realization streams.</w:t>
      </w:r>
    </w:p>
    <w:p>
      <w:pPr>
        <w:pStyle w:val="Heading1"/>
        <w:spacing w:before="240" w:after="120"/>
      </w:pPr>
      <w:r>
        <w:rPr>
          <w:b/>
          <w:bCs/>
          <w:sz w:val="28"/>
          <w:szCs w:val="28"/>
        </w:rPr>
        <w:t xml:space="preserve">Performance 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Revenue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$684.3M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 Latency (ms)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48ms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Fraud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0.17%</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Churn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5.3%</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Approval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73.5%</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Infrastructure Cost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$10.7M</w:t>
            </w:r>
          </w:p>
        </w:tc>
      </w:tr>
    </w:tbl>
    <w:p>
      <w:pPr>
        <w:pStyle w:val="Heading1"/>
        <w:spacing w:before="240" w:after="120"/>
      </w:pPr>
      <w:r>
        <w:rPr>
          <w:b/>
          <w:bCs/>
          <w:sz w:val="28"/>
          <w:szCs w:val="28"/>
        </w:rPr>
        <w:t xml:space="preserve">Conclusion</w:t>
      </w:r>
    </w:p>
    <w:p>
      <w:pPr>
        <w:spacing w:after="200"/>
      </w:pPr>
      <w:r>
        <w:t xml:space="preserve">The comprehensive analysis presented in this report indicates that Zenith Risk is on a positive trajectory toward achieving its strategic objectives. The combination of strong fundamental performance, proactive risk management, and continuous improvement initiatives creates foundation for long-term success. Ongoing monitoring of key metrics and adaptive strategy execution will ensure sustained momentum.</w:t>
      </w:r>
    </w:p>
    <w:p>
      <w:pPr>
        <w:spacing w:before="400"/>
      </w:pPr>
    </w:p>
    <w:p>
      <w:pPr>
        <w:spacing w:before="200"/>
        <w:jc w:val="center"/>
      </w:pPr>
      <w:r>
        <w:rPr>
          <w:i/>
          <w:iCs/>
        </w:rPr>
        <w:t xml:space="preserve">--- End of Report ---</w:t>
      </w:r>
    </w:p>
    <w:p>
      <w:pPr>
        <w:jc w:val="center"/>
      </w:pPr>
      <w:r>
        <w:rPr>
          <w:i/>
          <w:iCs/>
          <w:sz w:val="18"/>
          <w:szCs w:val="18"/>
        </w:rPr>
        <w:t xml:space="preserve">Confidential - FinEdge Bank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2026-02-05T08:24:46.022Z</dcterms:created>
  <dcterms:modified xsi:type="dcterms:W3CDTF">2026-02-05T08:24:46.022Z</dcterms:modified>
</cp:coreProperties>
</file>

<file path=docProps/custom.xml><?xml version="1.0" encoding="utf-8"?>
<Properties xmlns="http://schemas.openxmlformats.org/officeDocument/2006/custom-properties" xmlns:vt="http://schemas.openxmlformats.org/officeDocument/2006/docPropsVTypes"/>
</file>