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Customer Insights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FEB-25Q2-0015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2025-05-20</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Atlas Credit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Siddharth</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Finance Manager</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Atlas Credit outcomes achieved during Q2 2025.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Revenue, Customer Churn, Fraud Rate, Regulatory Risk, Transaction Latency</w:t>
      </w:r>
    </w:p>
    <w:p>
      <w:pPr>
        <w:pStyle w:val="Heading2"/>
        <w:spacing w:before="180" w:after="100"/>
      </w:pPr>
      <w:r>
        <w:rPr>
          <w:b/>
          <w:bCs/>
          <w:sz w:val="24"/>
          <w:szCs w:val="24"/>
        </w:rPr>
        <w:t xml:space="preserve">KPI Analysis 1</w:t>
      </w:r>
    </w:p>
    <w:p>
      <w:pPr>
        <w:spacing w:after="200"/>
      </w:pPr>
      <w:r>
        <w:t xml:space="preserve">Regulatory risk assessment identified 16 areas requiring enhanced monitoring and control frameworks. The compliance team successfully addressed 8 previously identified issues while implementing 3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2</w:t>
      </w:r>
    </w:p>
    <w:p>
      <w:pPr>
        <w:spacing w:after="200"/>
      </w:pPr>
      <w:r>
        <w:t xml:space="preserve">Fraud detection capabilities showed improving performance this quarter, with the overall fraud rate measuring 0.15% of total transaction volume. The fraud prevention systems successfully identified and blocked $5.6M in potentially fraudulent activities. Enhanced machine learning models contributed to a 22.8% improvement in detection accuracy while maintaining low false positive rates.</w:t>
      </w:r>
    </w:p>
    <w:p>
      <w:pPr>
        <w:pStyle w:val="Heading2"/>
        <w:spacing w:before="180" w:after="100"/>
      </w:pPr>
      <w:r>
        <w:rPr>
          <w:b/>
          <w:bCs/>
          <w:sz w:val="24"/>
          <w:szCs w:val="24"/>
        </w:rPr>
        <w:t xml:space="preserve">KPI Analysis 3</w:t>
      </w:r>
    </w:p>
    <w:p>
      <w:pPr>
        <w:spacing w:after="200"/>
      </w:pPr>
      <w:r>
        <w:t xml:space="preserve">Customer churn analysis indicates a retention rate of 93.0%, with 558 customers discontinuing service during the reporting period. Primary churn drivers included service issues, accounting for 45% of total attrition. Proactive retention initiatives managed to save approximately 45% of at-risk customers through targeted engagement and service improvements.</w:t>
      </w:r>
    </w:p>
    <w:p>
      <w:pPr>
        <w:pStyle w:val="Heading2"/>
        <w:spacing w:before="180" w:after="100"/>
      </w:pPr>
      <w:r>
        <w:rPr>
          <w:b/>
          <w:bCs/>
          <w:sz w:val="24"/>
          <w:szCs w:val="24"/>
        </w:rPr>
        <w:t xml:space="preserve">KPI Analysis 4</w:t>
      </w:r>
    </w:p>
    <w:p>
      <w:pPr>
        <w:spacing w:after="200"/>
      </w:pPr>
      <w:r>
        <w:t xml:space="preserve">Credit approval rates achieved 0.15% during this quarter, processing a total of 42049 applications through automated and manual review channels. The approval criteria balanced risk appetite with growth objectives, resulting in a default rate of 2.28% among newly approved accounts. Underwriting efficiency improved by 22.8%, reducing average decision time to 9 hours.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Data quality issues in the customer information database created complications for analytics and reporting workflows. Approximately 45% of records required remediation due to incomplete or inconsistent data elements. A comprehensive data cleansing initiative was launched, establishing new validation protocols and improving upstream data capture mechanisms.</w:t>
      </w:r>
    </w:p>
    <w:p>
      <w:pPr>
        <w:pStyle w:val="Heading2"/>
        <w:spacing w:before="180" w:after="100"/>
      </w:pPr>
      <w:r>
        <w:rPr>
          <w:b/>
          <w:bCs/>
          <w:sz w:val="24"/>
          <w:szCs w:val="24"/>
        </w:rPr>
        <w:t xml:space="preserve">Challenge 2</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Cost optimization programs exceeded targets, delivering $672.2M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Optimize customer onboarding workflows to reduce friction and improve conversion rates. Current process analysis identified 16 opportunities for automation and simplification that could reduce average onboarding time by 45%. Improved onboarding experience will positively impact customer acquisition costs and lifetime value metrics.</w:t>
      </w:r>
    </w:p>
    <w:p>
      <w:pPr>
        <w:pStyle w:val="Heading2"/>
        <w:spacing w:before="180" w:after="100"/>
      </w:pPr>
      <w:r>
        <w:rPr>
          <w:b/>
          <w:bCs/>
          <w:sz w:val="24"/>
          <w:szCs w:val="24"/>
        </w:rPr>
        <w:t xml:space="preserve">Recommendation 2</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$672.2M annually to maintain appropriate security maturity level.</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$672.2M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75ms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83.0%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$10.8M</w:t>
            </w:r>
          </w:p>
        </w:tc>
      </w:tr>
    </w:tbl>
    <w:p>
      <w:pPr>
        <w:pStyle w:val="Heading1"/>
        <w:spacing w:before="240" w:after="120"/>
      </w:pPr>
      <w:r>
        <w:rPr>
          <w:b/>
          <w:bCs/>
          <w:sz w:val="28"/>
          <w:szCs w:val="28"/>
        </w:rPr>
        <w:t xml:space="preserve">Conclusion</w:t>
      </w:r>
    </w:p>
    <w:p>
      <w:pPr>
        <w:spacing w:after="200"/>
      </w:pPr>
      <w:r>
        <w:t xml:space="preserve">The comprehensive analysis presented in this report indicates that Atlas Credit is on a positive trajectory toward achieving its strategic objectives. The combination of strong fundamental performance, proactive risk management, and continuous improvement initiatives creates foundation for long-term success. Ongoing monitoring of key metrics and adaptive strategy execution will ensure sustained momentum.</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2026-02-05T08:24:46.077Z</dcterms:created>
  <dcterms:modified xsi:type="dcterms:W3CDTF">2026-02-05T08:24:46.077Z</dcterms:modified>
</cp:coreProperties>
</file>

<file path=docProps/custom.xml><?xml version="1.0" encoding="utf-8"?>
<Properties xmlns="http://schemas.openxmlformats.org/officeDocument/2006/custom-properties" xmlns:vt="http://schemas.openxmlformats.org/officeDocument/2006/docPropsVTypes"/>
</file>