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FEB-25Q2-0016</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2025-04-15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Q2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w:t>
      </w:r>
    </w:p>
    <w:p>
      <w:pPr>
        <w:pStyle w:val="Heading2"/>
        <w:spacing w:before="180" w:after="100"/>
      </w:pPr>
      <w:r>
        <w:rPr>
          <w:b/>
          <w:bCs/>
          <w:sz w:val="24"/>
          <w:szCs w:val="24"/>
        </w:rPr>
        <w:t xml:space="preserve">KPI Analysis 1</w:t>
      </w:r>
    </w:p>
    <w:p>
      <w:pPr>
        <w:spacing w:after="200"/>
      </w:pPr>
      <w:r>
        <w:t xml:space="preserve">Revenue generation for this period demonstrated moderate momentum, with total realized revenue reaching $706.4M, representing a 10.9% improvement compared to the previous quarter. This performance was primarily driven by operational efficiency,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19 areas requiring enhanced monitoring and control frameworks. The compliance team successfully addressed 9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Infrastructure cost optimization initiatives yielded significant results, with total operational expenditure of $706.4M representing a 10.9% improvement from forecast. Cloud resource optimization, improved capacity planning, and strategic vendor negotiations contributed to the cost efficiency gains. The cost-per-transaction metric improved to $0.069, supporting improved unit economics.</w:t>
      </w:r>
    </w:p>
    <w:p>
      <w:pPr>
        <w:pStyle w:val="Heading2"/>
        <w:spacing w:before="180" w:after="100"/>
      </w:pPr>
      <w:r>
        <w:rPr>
          <w:b/>
          <w:bCs/>
          <w:sz w:val="24"/>
          <w:szCs w:val="24"/>
        </w:rPr>
        <w:t xml:space="preserve">KPI Analysis 4</w:t>
      </w:r>
    </w:p>
    <w:p>
      <w:pPr>
        <w:spacing w:after="200"/>
      </w:pPr>
      <w:r>
        <w:t xml:space="preserve">Transaction latency metrics revealed an average response time of 59ms across all payment channels, marking a 10.9% improvement from prior benchmarks. The performance improvement can be attributed to infrastructure optimization, which enhanced system throughput and reduced processing bottlenecks. Detailed analysis indicates that 26% of transactions completed within the target SLA threshold.</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Fraud detection algorithm refinements resulted in a 26% improvement in identification accuracy while reducing false positive rates by 26%.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$706.4M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$706.4M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Q2 2025 with notable achievements in risk management while navigating challenges in regulatory compliance. The strategic priorities for the coming quarter focus on enhancing scalability, supported by targeted investments in infrastructure.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2026-02-05T08:24:46.084Z</dcterms:created>
  <dcterms:modified xsi:type="dcterms:W3CDTF">2026-02-05T08:24:46.084Z</dcterms:modified>
</cp:coreProperties>
</file>

<file path=docProps/custom.xml><?xml version="1.0" encoding="utf-8"?>
<Properties xmlns="http://schemas.openxmlformats.org/officeDocument/2006/custom-properties" xmlns:vt="http://schemas.openxmlformats.org/officeDocument/2006/docPropsVTypes"/>
</file>