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FEB-25Q2-0021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2025-06-27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Neptune Payments outcomes achieved during Q2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Infra Cost, Customer Churn, Transaction Latency, Fraud Rate, Regulatory Risk</w:t>
      </w:r>
    </w:p>
    <w:p>
      <w:pPr>
        <w:pStyle w:val="Heading2"/>
        <w:spacing w:before="180" w:after="100"/>
      </w:pPr>
      <w:r>
        <w:rPr>
          <w:b/>
          <w:bCs/>
          <w:sz w:val="24"/>
          <w:szCs w:val="24"/>
        </w:rPr>
        <w:t xml:space="preserve">KPI Analysis 1</w:t>
      </w:r>
    </w:p>
    <w:p>
      <w:pPr>
        <w:spacing w:after="200"/>
      </w:pPr>
      <w:r>
        <w:t xml:space="preserve">Transaction latency metrics revealed an average response time of 58ms across all payment channels, marking a 22.2% growth from prior benchmarks. The performance improvement can be attributed to caching strategies, which enhanced system throughput and reduced processing bottlenecks. Detailed analysis indicates that 45% of transactions completed within the target SLA threshold.</w:t>
      </w:r>
    </w:p>
    <w:p>
      <w:pPr>
        <w:pStyle w:val="Heading2"/>
        <w:spacing w:before="180" w:after="100"/>
      </w:pPr>
      <w:r>
        <w:rPr>
          <w:b/>
          <w:bCs/>
          <w:sz w:val="24"/>
          <w:szCs w:val="24"/>
        </w:rPr>
        <w:t xml:space="preserve">KPI Analysis 2</w:t>
      </w:r>
    </w:p>
    <w:p>
      <w:pPr>
        <w:spacing w:after="200"/>
      </w:pPr>
      <w:r>
        <w:t xml:space="preserve">Regulatory risk assessment identified 8 areas requiring enhanced monitoring and control frameworks. The compliance team successfully addressed 8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Customer churn analysis indicates a retention rate of 95.6%, with 335 customers discontinuing service during the reporting period. Primary churn drivers included competitive offerings, accounting for 45% of total attrition. Proactive retention initiatives managed to save approximately 45%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Revenue generation for this period demonstrated moderate momentum, with total realized revenue reaching $695.2M, representing a 22.2% growth compared to the previous quarter. This performance was primarily driven by operational efficiency, which contributed significantly to the overall financial outcome. The revenue trajectory indicates sustainable growth,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New product launch exceeded initial adoption targets by 45%, with 8 customers onboarded in the first 29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17 months with projected annual savings of $695.2M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17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$695.2M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$9.6M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2026-02-05T08:24:46.123Z</dcterms:created>
  <dcterms:modified xsi:type="dcterms:W3CDTF">2026-02-05T08:24:46.123Z</dcterms:modified>
</cp:coreProperties>
</file>

<file path=docProps/custom.xml><?xml version="1.0" encoding="utf-8"?>
<Properties xmlns="http://schemas.openxmlformats.org/officeDocument/2006/custom-properties" xmlns:vt="http://schemas.openxmlformats.org/officeDocument/2006/docPropsVTypes"/>
</file>