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32"/>
          <w:szCs w:val="32"/>
        </w:rPr>
        <w:t xml:space="preserve">FinEdge Bank</w:t>
      </w:r>
    </w:p>
    <w:p>
      <w:pPr>
        <w:spacing w:after="400"/>
        <w:jc w:val="center"/>
      </w:pPr>
      <w:r>
        <w:rPr>
          <w:sz w:val="28"/>
          <w:szCs w:val="28"/>
        </w:rPr>
        <w:t xml:space="preserve">Strategic Review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Report ID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FEB-25Q2-0024</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2025-06-09</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Quarter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Q2 2025</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Project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Neptune Payments</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Author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Aarav</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Role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Director Engineering</w:t>
            </w:r>
          </w:p>
        </w:tc>
      </w:tr>
    </w:tbl>
    <w:p>
      <w:pPr>
        <w:spacing w:after="300"/>
      </w:pPr>
    </w:p>
    <w:p>
      <w:pPr>
        <w:pStyle w:val="Heading1"/>
        <w:spacing w:before="240" w:after="120"/>
      </w:pPr>
      <w:r>
        <w:rPr>
          <w:b/>
          <w:bCs/>
          <w:sz w:val="28"/>
          <w:szCs w:val="28"/>
        </w:rPr>
        <w:t xml:space="preserve">Executive Summary</w:t>
      </w:r>
    </w:p>
    <w:p>
      <w:pPr>
        <w:spacing w:after="200"/>
      </w:pPr>
      <w:r>
        <w:t xml:space="preserve">The following analysis presents a thorough evaluation of Neptune Payments operations for Q2 2025. This assessment incorporates quantitative metrics, qualitative insights, and forward-looking recommendations to support informed decision-making.</w:t>
      </w:r>
    </w:p>
    <w:p>
      <w:pPr>
        <w:pStyle w:val="Heading1"/>
        <w:spacing w:before="240" w:after="120"/>
      </w:pPr>
      <w:r>
        <w:rPr>
          <w:b/>
          <w:bCs/>
          <w:sz w:val="28"/>
          <w:szCs w:val="28"/>
        </w:rPr>
        <w:t xml:space="preserve">Key Performance Indicators</w:t>
      </w:r>
    </w:p>
    <w:p>
      <w:pPr>
        <w:spacing w:after="200"/>
      </w:pPr>
      <w:r>
        <w:rPr>
          <w:i/>
          <w:iCs/>
        </w:rPr>
        <w:t xml:space="preserve">Focus Areas: Revenue, Fraud Rate, Transaction Latency, Regulatory Risk, Infra Cost</w:t>
      </w:r>
    </w:p>
    <w:p>
      <w:pPr>
        <w:pStyle w:val="Heading2"/>
        <w:spacing w:before="180" w:after="100"/>
      </w:pPr>
      <w:r>
        <w:rPr>
          <w:b/>
          <w:bCs/>
          <w:sz w:val="24"/>
          <w:szCs w:val="24"/>
        </w:rPr>
        <w:t xml:space="preserve">KPI Analysis 1</w:t>
      </w:r>
    </w:p>
    <w:p>
      <w:pPr>
        <w:spacing w:after="200"/>
      </w:pPr>
      <w:r>
        <w:t xml:space="preserve">Customer churn analysis indicates a retention rate of 95.3%, with 456 customers discontinuing service during the reporting period. Primary churn drivers included service issues, accounting for 39% of total attrition. Proactive retention initiatives managed to save approximately 39% of at-risk customers through targeted engagement and service improvements.</w:t>
      </w:r>
    </w:p>
    <w:p>
      <w:pPr>
        <w:pStyle w:val="Heading2"/>
        <w:spacing w:before="180" w:after="100"/>
      </w:pPr>
      <w:r>
        <w:rPr>
          <w:b/>
          <w:bCs/>
          <w:sz w:val="24"/>
          <w:szCs w:val="24"/>
        </w:rPr>
        <w:t xml:space="preserve">KPI Analysis 2</w:t>
      </w:r>
    </w:p>
    <w:p>
      <w:pPr>
        <w:spacing w:after="200"/>
      </w:pPr>
      <w:r>
        <w:t xml:space="preserve">Revenue generation for this period demonstrated strong momentum, with total realized revenue reaching $684.5M, representing a 14.4% growth compared to the previous quarter. This performance was primarily driven by operational efficiency, which contributed significantly to the overall financial outcome. The revenue trajectory indicates continued expansion, suggesting sustained momentum in market penetration and customer value realization.</w:t>
      </w:r>
    </w:p>
    <w:p>
      <w:pPr>
        <w:pStyle w:val="Heading2"/>
        <w:spacing w:before="180" w:after="100"/>
      </w:pPr>
      <w:r>
        <w:rPr>
          <w:b/>
          <w:bCs/>
          <w:sz w:val="24"/>
          <w:szCs w:val="24"/>
        </w:rPr>
        <w:t xml:space="preserve">KPI Analysis 3</w:t>
      </w:r>
    </w:p>
    <w:p>
      <w:pPr>
        <w:spacing w:after="200"/>
      </w:pPr>
      <w:r>
        <w:t xml:space="preserve">Infrastructure cost optimization initiatives yielded significant results, with total operational expenditure of $684.5M representing a 14.4% growth from forecast. Cloud resource optimization, improved capacity planning, and strategic vendor negotiations contributed to the cost efficiency gains. The cost-per-transaction metric improved to $0.028, supporting improved unit economics.</w:t>
      </w:r>
    </w:p>
    <w:p>
      <w:pPr>
        <w:pStyle w:val="Heading2"/>
        <w:spacing w:before="180" w:after="100"/>
      </w:pPr>
      <w:r>
        <w:rPr>
          <w:b/>
          <w:bCs/>
          <w:sz w:val="24"/>
          <w:szCs w:val="24"/>
        </w:rPr>
        <w:t xml:space="preserve">KPI Analysis 4</w:t>
      </w:r>
    </w:p>
    <w:p>
      <w:pPr>
        <w:spacing w:after="200"/>
      </w:pPr>
      <w:r>
        <w:t xml:space="preserve">Regulatory risk assessment identified 19 areas requiring enhanced monitoring and control frameworks. The compliance team successfully addressed 3 previously identified issues while implementing 1 additional safeguards. All regulatory reporting obligations were met within prescribed deadlines, with zero material findings from external audits.</w:t>
      </w:r>
    </w:p>
    <w:p>
      <w:pPr>
        <w:pStyle w:val="Heading1"/>
        <w:spacing w:before="240" w:after="120"/>
      </w:pPr>
      <w:r>
        <w:rPr>
          <w:b/>
          <w:bCs/>
          <w:sz w:val="28"/>
          <w:szCs w:val="28"/>
        </w:rPr>
        <w:t xml:space="preserve">Challenges and Mitigation</w:t>
      </w:r>
    </w:p>
    <w:p>
      <w:pPr>
        <w:pStyle w:val="Heading2"/>
        <w:spacing w:before="180" w:after="100"/>
      </w:pPr>
      <w:r>
        <w:rPr>
          <w:b/>
          <w:bCs/>
          <w:sz w:val="24"/>
          <w:szCs w:val="24"/>
        </w:rPr>
        <w:t xml:space="preserve">Challenge 1</w:t>
      </w:r>
    </w:p>
    <w:p>
      <w:pPr>
        <w:spacing w:after="200"/>
      </w:pPr>
      <w:r>
        <w:t xml:space="preserve">Several operational challenges emerged during the quarter that required immediate attention and remediation. System scalability constraints became apparent during peak transaction periods, necessitating infrastructure upgrades and architectural refinements. The engineering team implemented emergency capacity enhancements while developing longer-term solutions to address underlying limitations.</w:t>
      </w:r>
    </w:p>
    <w:p>
      <w:pPr>
        <w:pStyle w:val="Heading2"/>
        <w:spacing w:before="180" w:after="100"/>
      </w:pPr>
      <w:r>
        <w:rPr>
          <w:b/>
          <w:bCs/>
          <w:sz w:val="24"/>
          <w:szCs w:val="24"/>
        </w:rPr>
        <w:t xml:space="preserve">Challenge 2</w:t>
      </w:r>
    </w:p>
    <w:p>
      <w:pPr>
        <w:spacing w:after="200"/>
      </w:pPr>
      <w:r>
        <w:t xml:space="preserve">Cybersecurity threat landscape evolution necessitated enhanced protective measures and incident response capabilities. Several attempted intrusions were successfully defended, but the increasing sophistication of attack vectors highlighted the need for continuous security posture improvements and proactive threat intelligence utilization.</w:t>
      </w:r>
    </w:p>
    <w:p>
      <w:pPr>
        <w:pStyle w:val="Heading1"/>
        <w:spacing w:before="240" w:after="120"/>
      </w:pPr>
      <w:r>
        <w:rPr>
          <w:b/>
          <w:bCs/>
          <w:sz w:val="28"/>
          <w:szCs w:val="28"/>
        </w:rPr>
        <w:t xml:space="preserve">Key Achievements</w:t>
      </w:r>
    </w:p>
    <w:p>
      <w:pPr>
        <w:pStyle w:val="Heading2"/>
        <w:spacing w:before="180" w:after="100"/>
      </w:pPr>
      <w:r>
        <w:rPr>
          <w:b/>
          <w:bCs/>
          <w:sz w:val="24"/>
          <w:szCs w:val="24"/>
        </w:rPr>
        <w:t xml:space="preserve">Achievement 1</w:t>
      </w:r>
    </w:p>
    <w:p>
      <w:pPr>
        <w:spacing w:after="200"/>
      </w:pPr>
      <w:r>
        <w:t xml:space="preserve">Strategic partnership establishment with a leading technology provider unlocked new capabilities and market opportunities. The collaboration agreement enables access to advanced analytics tools and expands the addressable customer segment. Initial pilot programs demonstrated strong customer interest and validated the strategic value of the partnership arrangement.</w:t>
      </w:r>
    </w:p>
    <w:p>
      <w:pPr>
        <w:pStyle w:val="Heading2"/>
        <w:spacing w:before="180" w:after="100"/>
      </w:pPr>
      <w:r>
        <w:rPr>
          <w:b/>
          <w:bCs/>
          <w:sz w:val="24"/>
          <w:szCs w:val="24"/>
        </w:rPr>
        <w:t xml:space="preserve">Achievement 2</w:t>
      </w:r>
    </w:p>
    <w:p>
      <w:pPr>
        <w:spacing w:after="200"/>
      </w:pPr>
      <w:r>
        <w:t xml:space="preserve">The project team successfully delivered a major platform upgrade that significantly enhanced system capabilities and user experience. The implementation was completed ahead of schedule and under budget, demonstrating exceptional project execution and stakeholder coordination. Post-deployment metrics indicated immediate positive impact on key performance indicators and user satisfaction scores.</w:t>
      </w:r>
    </w:p>
    <w:p>
      <w:pPr>
        <w:pStyle w:val="Heading1"/>
        <w:spacing w:before="240" w:after="120"/>
      </w:pPr>
      <w:r>
        <w:rPr>
          <w:b/>
          <w:bCs/>
          <w:sz w:val="28"/>
          <w:szCs w:val="28"/>
        </w:rPr>
        <w:t xml:space="preserve">Strategic Recommendations</w:t>
      </w:r>
    </w:p>
    <w:p>
      <w:pPr>
        <w:pStyle w:val="Heading2"/>
        <w:spacing w:before="180" w:after="100"/>
      </w:pPr>
      <w:r>
        <w:rPr>
          <w:b/>
          <w:bCs/>
          <w:sz w:val="24"/>
          <w:szCs w:val="24"/>
        </w:rPr>
        <w:t xml:space="preserve">Recommendation 1</w:t>
      </w:r>
    </w:p>
    <w:p>
      <w:pPr>
        <w:spacing w:after="200"/>
      </w:pPr>
      <w:r>
        <w:t xml:space="preserve">Accelerate cloud infrastructure migration to enhance scalability, reliability, and cost efficiency. The transition should prioritize customer-facing systems and adopt a phased approach that minimizes service disruption. Estimated completion timeline of 6 months with projected annual savings of $684.5M upon full implementation.</w:t>
      </w:r>
    </w:p>
    <w:p>
      <w:pPr>
        <w:pStyle w:val="Heading2"/>
        <w:spacing w:before="180" w:after="100"/>
      </w:pPr>
      <w:r>
        <w:rPr>
          <w:b/>
          <w:bCs/>
          <w:sz w:val="24"/>
          <w:szCs w:val="24"/>
        </w:rPr>
        <w:t xml:space="preserve">Recommendation 2</w:t>
      </w:r>
    </w:p>
    <w:p>
      <w:pPr>
        <w:spacing w:after="200"/>
      </w:pPr>
      <w:r>
        <w:t xml:space="preserve">Implement advanced analytics capabilities to derive deeper insights from transaction data and customer behavior patterns. The investment in machine learning infrastructure and data science talent will enable more sophisticated risk modeling, personalized customer experiences, and proactive issue identification. Expected ROI timeline of 6 months with multiple value realization streams.</w:t>
      </w:r>
    </w:p>
    <w:p>
      <w:pPr>
        <w:pStyle w:val="Heading1"/>
        <w:spacing w:before="240" w:after="120"/>
      </w:pPr>
      <w:r>
        <w:rPr>
          <w:b/>
          <w:bCs/>
          <w:sz w:val="28"/>
          <w:szCs w:val="28"/>
        </w:rPr>
        <w:t xml:space="preserve">Performance Metrics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Metric</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Revenue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$684.5M</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Transaction Latency (ms)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71ms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Fraud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0.20%</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Customer Churn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4.7%</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Approval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84.7%</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Infrastructure Cost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$8.9M</w:t>
            </w:r>
          </w:p>
        </w:tc>
      </w:tr>
    </w:tbl>
    <w:p>
      <w:pPr>
        <w:pStyle w:val="Heading1"/>
        <w:spacing w:before="240" w:after="120"/>
      </w:pPr>
      <w:r>
        <w:rPr>
          <w:b/>
          <w:bCs/>
          <w:sz w:val="28"/>
          <w:szCs w:val="28"/>
        </w:rPr>
        <w:t xml:space="preserve">Conclusion</w:t>
      </w:r>
    </w:p>
    <w:p>
      <w:pPr>
        <w:spacing w:after="200"/>
      </w:pPr>
      <w:r>
        <w:t xml:space="preserve">In summary, Neptune Payments demonstrated solid performance during Q2 2025 with notable achievements in operational efficiency while navigating challenges in resource allocation. The strategic priorities for the coming quarter focus on expanding capabilities, supported by targeted investments in customer experience. Continued execution of the defined roadmap positions the project well for sustained value delivery.</w:t>
      </w:r>
    </w:p>
    <w:p>
      <w:pPr>
        <w:spacing w:before="400"/>
      </w:pPr>
    </w:p>
    <w:p>
      <w:pPr>
        <w:spacing w:before="200"/>
        <w:jc w:val="center"/>
      </w:pPr>
      <w:r>
        <w:rPr>
          <w:i/>
          <w:iCs/>
        </w:rPr>
        <w:t xml:space="preserve">--- End of Report ---</w:t>
      </w:r>
    </w:p>
    <w:p>
      <w:pPr>
        <w:jc w:val="center"/>
      </w:pPr>
      <w:r>
        <w:rPr>
          <w:i/>
          <w:iCs/>
          <w:sz w:val="18"/>
          <w:szCs w:val="18"/>
        </w:rPr>
        <w:t xml:space="preserve">Confidential - FinEdge Bank Internal Use Only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2026-02-05T08:24:46.145Z</dcterms:created>
  <dcterms:modified xsi:type="dcterms:W3CDTF">2026-02-05T08:24:46.145Z</dcterms:modified>
</cp:coreProperties>
</file>

<file path=docProps/custom.xml><?xml version="1.0" encoding="utf-8"?>
<Properties xmlns="http://schemas.openxmlformats.org/officeDocument/2006/custom-properties" xmlns:vt="http://schemas.openxmlformats.org/officeDocument/2006/docPropsVTypes"/>
</file>