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Risk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FEB-25Q2-0025</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2025-04-15</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Q2 2025</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Zenith Risk</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Siddharth</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Finance Manager</w:t>
            </w:r>
          </w:p>
        </w:tc>
      </w:tr>
    </w:tbl>
    <w:p>
      <w:pPr>
        <w:spacing w:after="300"/>
      </w:pPr>
    </w:p>
    <w:p>
      <w:pPr>
        <w:pStyle w:val="Heading1"/>
        <w:spacing w:before="240" w:after="120"/>
      </w:pPr>
      <w:r>
        <w:rPr>
          <w:b/>
          <w:bCs/>
          <w:sz w:val="28"/>
          <w:szCs w:val="28"/>
        </w:rPr>
        <w:t xml:space="preserve">Executive Summary</w:t>
      </w:r>
    </w:p>
    <w:p>
      <w:pPr>
        <w:spacing w:after="200"/>
      </w:pPr>
      <w:r>
        <w:t xml:space="preserve">This report documents the operational and strategic performance of Zenith Risk throughout Q2 2025. The analysis examines key performance indicators, evaluates risk factors, and assesses alignment with enterprise-wide objectives and compliance requirements.</w:t>
      </w:r>
    </w:p>
    <w:p>
      <w:pPr>
        <w:pStyle w:val="Heading1"/>
        <w:spacing w:before="240" w:after="120"/>
      </w:pPr>
      <w:r>
        <w:rPr>
          <w:b/>
          <w:bCs/>
          <w:sz w:val="28"/>
          <w:szCs w:val="28"/>
        </w:rPr>
        <w:t xml:space="preserve">Key Performance Indicators</w:t>
      </w:r>
    </w:p>
    <w:p>
      <w:pPr>
        <w:spacing w:after="200"/>
      </w:pPr>
      <w:r>
        <w:rPr>
          <w:i/>
          <w:iCs/>
        </w:rPr>
        <w:t xml:space="preserve">Focus Areas: Customer Churn, Transaction Latency, Approval Rate, Fraud Rate, Revenue</w:t>
      </w:r>
    </w:p>
    <w:p>
      <w:pPr>
        <w:pStyle w:val="Heading2"/>
        <w:spacing w:before="180" w:after="100"/>
      </w:pPr>
      <w:r>
        <w:rPr>
          <w:b/>
          <w:bCs/>
          <w:sz w:val="24"/>
          <w:szCs w:val="24"/>
        </w:rPr>
        <w:t xml:space="preserve">KPI Analysis 1</w:t>
      </w:r>
    </w:p>
    <w:p>
      <w:pPr>
        <w:spacing w:after="200"/>
      </w:pPr>
      <w:r>
        <w:t xml:space="preserve">Revenue generation for this period demonstrated moderate momentum, with total realized revenue reaching $718.3M, representing a 21.0% increase compared to the previous quarter. This performance was primarily driven by market expansion, which contributed significantly to the overall financial outcome. The revenue trajectory indicates sustainable growth, suggesting sustained momentum in market penetration and customer value realization.</w:t>
      </w:r>
    </w:p>
    <w:p>
      <w:pPr>
        <w:pStyle w:val="Heading2"/>
        <w:spacing w:before="180" w:after="100"/>
      </w:pPr>
      <w:r>
        <w:rPr>
          <w:b/>
          <w:bCs/>
          <w:sz w:val="24"/>
          <w:szCs w:val="24"/>
        </w:rPr>
        <w:t xml:space="preserve">KPI Analysis 2</w:t>
      </w:r>
    </w:p>
    <w:p>
      <w:pPr>
        <w:spacing w:after="200"/>
      </w:pPr>
      <w:r>
        <w:t xml:space="preserve">Credit approval rates achieved 0.18% during this quarter, processing a total of 54684 applications through automated and manual review channels. The approval criteria balanced risk appetite with growth objectives, resulting in a default rate of 2.12% among newly approved accounts. Underwriting efficiency improved by 21.0%, reducing average decision time to 18 hours.</w:t>
      </w:r>
    </w:p>
    <w:p>
      <w:pPr>
        <w:pStyle w:val="Heading2"/>
        <w:spacing w:before="180" w:after="100"/>
      </w:pPr>
      <w:r>
        <w:rPr>
          <w:b/>
          <w:bCs/>
          <w:sz w:val="24"/>
          <w:szCs w:val="24"/>
        </w:rPr>
        <w:t xml:space="preserve">KPI Analysis 3</w:t>
      </w:r>
    </w:p>
    <w:p>
      <w:pPr>
        <w:spacing w:after="200"/>
      </w:pPr>
      <w:r>
        <w:t xml:space="preserve">Transaction latency metrics revealed an average response time of 59ms across all payment channels, marking a 21.0% increase from prior benchmarks. The performance improvement can be attributed to algorithm improvements, which enhanced system throughput and reduced processing bottlenecks. Detailed analysis indicates that 21% of transactions completed within the target SLA threshold.</w:t>
      </w:r>
    </w:p>
    <w:p>
      <w:pPr>
        <w:pStyle w:val="Heading2"/>
        <w:spacing w:before="180" w:after="100"/>
      </w:pPr>
      <w:r>
        <w:rPr>
          <w:b/>
          <w:bCs/>
          <w:sz w:val="24"/>
          <w:szCs w:val="24"/>
        </w:rPr>
        <w:t xml:space="preserve">KPI Analysis 4</w:t>
      </w:r>
    </w:p>
    <w:p>
      <w:pPr>
        <w:spacing w:after="200"/>
      </w:pPr>
      <w:r>
        <w:t xml:space="preserve">Customer churn analysis indicates a retention rate of 93.5%, with 517 customers discontinuing service during the reporting period. Primary churn drivers included feature gaps, accounting for 21% of total attrition. Proactive retention initiatives managed to save approximately 21% of at-risk customers through targeted engagement and service improvements.</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Third-party vendor performance fell short of contractual service level agreements in several instances, impacting downstream system availability and user experience. The vendor management team initiated formal performance improvement plans and explored alternative provider options to mitigate dependency risks and ensure service reliability.</w:t>
      </w:r>
    </w:p>
    <w:p>
      <w:pPr>
        <w:pStyle w:val="Heading2"/>
        <w:spacing w:before="180" w:after="100"/>
      </w:pPr>
      <w:r>
        <w:rPr>
          <w:b/>
          <w:bCs/>
          <w:sz w:val="24"/>
          <w:szCs w:val="24"/>
        </w:rPr>
        <w:t xml:space="preserve">Challenge 2</w:t>
      </w:r>
    </w:p>
    <w:p>
      <w:pPr>
        <w:spacing w:after="200"/>
      </w:pPr>
      <w:r>
        <w:t xml:space="preserve">Cybersecurity threat landscape evolution necessitated enhanced protective measures and incident response capabilities. Several attempted intrusions were successfully defended, but the increasing sophistication of attack vectors highlighted the need for continuous security posture improvements and proactive threat intelligence utilization.</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The project team successfully delivered a major platform upgrade that significantly enhanced system capabilities and user experience. The implementation was completed ahead of schedule and under budget, demonstrating exceptional project execution and stakeholder coordination. Post-deployment metrics indicated immediate positive impact on key performance indicators and user satisfaction scores.</w:t>
      </w:r>
    </w:p>
    <w:p>
      <w:pPr>
        <w:pStyle w:val="Heading2"/>
        <w:spacing w:before="180" w:after="100"/>
      </w:pPr>
      <w:r>
        <w:rPr>
          <w:b/>
          <w:bCs/>
          <w:sz w:val="24"/>
          <w:szCs w:val="24"/>
        </w:rPr>
        <w:t xml:space="preserve">Achievement 2</w:t>
      </w:r>
    </w:p>
    <w:p>
      <w:pPr>
        <w:spacing w:after="200"/>
      </w:pPr>
      <w:r>
        <w:t xml:space="preserve">Fraud detection algorithm refinements resulted in a 21% improvement in identification accuracy while reducing false positive rates by 21%. The machine learning models now incorporate expanded feature sets and improved training methodologies that enhance pattern recognition capabilities. These improvements directly translate to reduced financial losses and improved customer experience.</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Strengthen cybersecurity posture through enhanced monitoring tools, incident response capabilities, and security awareness training programs. The threat landscape evolution requires continuous investment in defensive capabilities and proactive threat hunting. Recommended budget allocation of $718.3M annually to maintain appropriate security maturity level.</w:t>
      </w:r>
    </w:p>
    <w:p>
      <w:pPr>
        <w:pStyle w:val="Heading2"/>
        <w:spacing w:before="180" w:after="100"/>
      </w:pPr>
      <w:r>
        <w:rPr>
          <w:b/>
          <w:bCs/>
          <w:sz w:val="24"/>
          <w:szCs w:val="24"/>
        </w:rPr>
        <w:t xml:space="preserve">Recommendation 2</w:t>
      </w:r>
    </w:p>
    <w:p>
      <w:pPr>
        <w:spacing w:after="200"/>
      </w:pPr>
      <w:r>
        <w:t xml:space="preserve">Optimize customer onboarding workflows to reduce friction and improve conversion rates. Current process analysis identified 5 opportunities for automation and simplification that could reduce average onboarding time by 21%. Improved onboarding experience will positively impact customer acquisition costs and lifetime value metrics.</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$718.3M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59ms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0.18%</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6.5%</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69.7%</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$11.1M</w:t>
            </w:r>
          </w:p>
        </w:tc>
      </w:tr>
    </w:tbl>
    <w:p>
      <w:pPr>
        <w:pStyle w:val="Heading1"/>
        <w:spacing w:before="240" w:after="120"/>
      </w:pPr>
      <w:r>
        <w:rPr>
          <w:b/>
          <w:bCs/>
          <w:sz w:val="28"/>
          <w:szCs w:val="28"/>
        </w:rPr>
        <w:t xml:space="preserve">Conclusion</w:t>
      </w:r>
    </w:p>
    <w:p>
      <w:pPr>
        <w:spacing w:after="200"/>
      </w:pPr>
      <w:r>
        <w:t xml:space="preserve">The findings and recommendations outlined in this report provide actionable insights for stakeholders across the organization. Implementation of the proposed initiatives will require coordinated effort and sustained focus, but the potential value creation justifies the required investment. Regular progress tracking and course correction mechanisms will ensure achievement of desired outcomes.</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2026-02-05T08:24:46.153Z</dcterms:created>
  <dcterms:modified xsi:type="dcterms:W3CDTF">2026-02-05T08:24:46.153Z</dcterms:modified>
</cp:coreProperties>
</file>

<file path=docProps/custom.xml><?xml version="1.0" encoding="utf-8"?>
<Properties xmlns="http://schemas.openxmlformats.org/officeDocument/2006/custom-properties" xmlns:vt="http://schemas.openxmlformats.org/officeDocument/2006/docPropsVTypes"/>
</file>